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9C65E0" w:rsidP="00AA0511">
      <w:pPr>
        <w:pStyle w:val="a5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AA0511" w:rsidRPr="000E4A37">
        <w:rPr>
          <w:bCs/>
          <w:sz w:val="26"/>
          <w:szCs w:val="26"/>
        </w:rPr>
        <w:t>ДУМИНИЧСКИЙ  РАЙОН</w:t>
      </w:r>
      <w:r>
        <w:rPr>
          <w:bCs/>
          <w:sz w:val="26"/>
          <w:szCs w:val="26"/>
        </w:rPr>
        <w:t>»</w:t>
      </w:r>
    </w:p>
    <w:p w:rsidR="00AA0511" w:rsidRPr="000E4A37" w:rsidRDefault="00463CBB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ПОСТАНОВЛЕНИЕ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 w:rsidRPr="000E4A37">
        <w:rPr>
          <w:b w:val="0"/>
          <w:sz w:val="26"/>
          <w:szCs w:val="26"/>
        </w:rPr>
        <w:t xml:space="preserve"> « </w:t>
      </w:r>
      <w:r w:rsidR="009C65E0">
        <w:rPr>
          <w:b w:val="0"/>
          <w:sz w:val="26"/>
          <w:szCs w:val="26"/>
        </w:rPr>
        <w:t>_</w:t>
      </w:r>
      <w:r w:rsidR="008E10C7" w:rsidRPr="008E10C7">
        <w:rPr>
          <w:b w:val="0"/>
          <w:sz w:val="26"/>
          <w:szCs w:val="26"/>
          <w:u w:val="single"/>
        </w:rPr>
        <w:t>11</w:t>
      </w:r>
      <w:r w:rsidRPr="000E4A37">
        <w:rPr>
          <w:b w:val="0"/>
          <w:sz w:val="26"/>
          <w:szCs w:val="26"/>
        </w:rPr>
        <w:t xml:space="preserve">_»  </w:t>
      </w:r>
      <w:r w:rsidRPr="000E4A37">
        <w:rPr>
          <w:b w:val="0"/>
          <w:sz w:val="26"/>
          <w:szCs w:val="26"/>
          <w:u w:val="single"/>
        </w:rPr>
        <w:t xml:space="preserve">   </w:t>
      </w:r>
      <w:r w:rsidR="008E10C7">
        <w:rPr>
          <w:b w:val="0"/>
          <w:sz w:val="26"/>
          <w:szCs w:val="26"/>
          <w:u w:val="single"/>
        </w:rPr>
        <w:t>12</w:t>
      </w:r>
      <w:r w:rsidRPr="000E4A37">
        <w:rPr>
          <w:b w:val="0"/>
          <w:sz w:val="26"/>
          <w:szCs w:val="26"/>
          <w:u w:val="single"/>
        </w:rPr>
        <w:t xml:space="preserve">     </w:t>
      </w:r>
      <w:r w:rsidRPr="000E4A37">
        <w:rPr>
          <w:b w:val="0"/>
          <w:sz w:val="26"/>
          <w:szCs w:val="26"/>
        </w:rPr>
        <w:t xml:space="preserve"> 20</w:t>
      </w:r>
      <w:r w:rsidR="009C65E0" w:rsidRPr="00463CBB">
        <w:rPr>
          <w:b w:val="0"/>
          <w:sz w:val="26"/>
          <w:szCs w:val="26"/>
        </w:rPr>
        <w:t>23</w:t>
      </w:r>
      <w:r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Pr="000E4A37">
        <w:rPr>
          <w:b w:val="0"/>
          <w:sz w:val="26"/>
          <w:szCs w:val="26"/>
        </w:rPr>
        <w:t xml:space="preserve">     </w:t>
      </w:r>
      <w:r w:rsidRPr="008E10C7">
        <w:rPr>
          <w:b w:val="0"/>
          <w:sz w:val="26"/>
          <w:szCs w:val="26"/>
          <w:u w:val="single"/>
        </w:rPr>
        <w:t xml:space="preserve">№  </w:t>
      </w:r>
      <w:r w:rsidR="008E10C7">
        <w:rPr>
          <w:b w:val="0"/>
          <w:sz w:val="26"/>
          <w:szCs w:val="26"/>
          <w:u w:val="single"/>
        </w:rPr>
        <w:t>605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  <w:bookmarkStart w:id="1" w:name="_GoBack"/>
      <w:bookmarkEnd w:id="1"/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63CBB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7537CD" w:rsidRPr="000E4A37" w:rsidRDefault="007537CD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463CBB" w:rsidRDefault="000E35CE" w:rsidP="00463CBB">
      <w:p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sz w:val="26"/>
          <w:szCs w:val="26"/>
        </w:rPr>
        <w:t xml:space="preserve">        </w:t>
      </w:r>
      <w:proofErr w:type="gramStart"/>
      <w:r w:rsidR="00EF6E8E" w:rsidRPr="00463CBB">
        <w:rPr>
          <w:rFonts w:ascii="Times New Roman" w:hAnsi="Times New Roman" w:cs="Times New Roman"/>
          <w:sz w:val="26"/>
          <w:szCs w:val="26"/>
        </w:rPr>
        <w:t>Руководствуясь ст. 44 Федерального закона от 31 июля 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EF6E8E" w:rsidRPr="00463C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6E8E" w:rsidRPr="00463CBB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ценностям», Уставом муниципального района «Думиничский район»</w:t>
      </w:r>
      <w:r w:rsidR="00463CBB" w:rsidRPr="00463CBB">
        <w:rPr>
          <w:rFonts w:ascii="Times New Roman" w:hAnsi="Times New Roman" w:cs="Times New Roman"/>
          <w:sz w:val="26"/>
          <w:szCs w:val="26"/>
        </w:rPr>
        <w:t>, принимая во внимание, что на основании  Распоряжения от 19.09.2023 №</w:t>
      </w:r>
      <w:r w:rsidR="00ED526D" w:rsidRPr="00463CBB">
        <w:rPr>
          <w:rFonts w:ascii="Times New Roman" w:hAnsi="Times New Roman" w:cs="Times New Roman"/>
          <w:sz w:val="26"/>
          <w:szCs w:val="26"/>
        </w:rPr>
        <w:t>:</w:t>
      </w:r>
      <w:r w:rsidR="00463CBB" w:rsidRPr="00463CBB">
        <w:rPr>
          <w:rFonts w:ascii="Times New Roman" w:hAnsi="Times New Roman" w:cs="Times New Roman"/>
          <w:sz w:val="26"/>
          <w:szCs w:val="26"/>
        </w:rPr>
        <w:t xml:space="preserve">140-р «Об утверждении проектов Программ </w:t>
      </w:r>
      <w:r w:rsidR="00463CBB" w:rsidRPr="00463C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 жилищного контроля и </w:t>
      </w:r>
      <w:r w:rsidR="00463CBB" w:rsidRPr="00463CBB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463CBB" w:rsidRPr="00463CBB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463CBB">
        <w:rPr>
          <w:rFonts w:ascii="Times New Roman" w:hAnsi="Times New Roman" w:cs="Times New Roman"/>
          <w:sz w:val="26"/>
          <w:szCs w:val="26"/>
        </w:rPr>
        <w:t xml:space="preserve"> указанные проекты были размещены</w:t>
      </w:r>
      <w:proofErr w:type="gramEnd"/>
      <w:r w:rsidR="00463CBB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района «Думиничский район» и прошли общественные обсуждения, результаты которых размещены на платформе обратной связи</w:t>
      </w:r>
      <w:r w:rsidR="00136A03" w:rsidRPr="00136A03">
        <w:t xml:space="preserve"> </w:t>
      </w:r>
      <w:hyperlink r:id="rId7" w:history="1">
        <w:r w:rsidR="00136A03" w:rsidRPr="007537C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https://pos.gosuslugi.ru/backoffice/</w:t>
        </w:r>
      </w:hyperlink>
    </w:p>
    <w:p w:rsidR="007537CD" w:rsidRDefault="007537CD" w:rsidP="00463C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A03" w:rsidRPr="00136A03" w:rsidRDefault="00136A03" w:rsidP="00463CBB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36A0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533B3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</w:p>
    <w:p w:rsidR="006226E8" w:rsidRDefault="00AA0511" w:rsidP="006226E8">
      <w:pPr>
        <w:pStyle w:val="40"/>
        <w:numPr>
          <w:ilvl w:val="0"/>
          <w:numId w:val="24"/>
        </w:numPr>
        <w:shd w:val="clear" w:color="auto" w:fill="auto"/>
        <w:tabs>
          <w:tab w:val="left" w:pos="1651"/>
          <w:tab w:val="left" w:pos="3915"/>
        </w:tabs>
        <w:spacing w:before="0"/>
        <w:rPr>
          <w:rFonts w:eastAsia="Calibri"/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>Утверди</w:t>
      </w:r>
      <w:r w:rsidR="00F72246" w:rsidRPr="00E533B3">
        <w:rPr>
          <w:b w:val="0"/>
          <w:sz w:val="26"/>
          <w:szCs w:val="26"/>
        </w:rPr>
        <w:t xml:space="preserve">ть </w:t>
      </w:r>
      <w:r w:rsidR="00ED526D" w:rsidRPr="00E533B3">
        <w:rPr>
          <w:b w:val="0"/>
          <w:sz w:val="26"/>
          <w:szCs w:val="26"/>
        </w:rPr>
        <w:t xml:space="preserve">проект </w:t>
      </w:r>
      <w:r w:rsidRPr="00E533B3">
        <w:rPr>
          <w:b w:val="0"/>
          <w:sz w:val="26"/>
          <w:szCs w:val="26"/>
        </w:rPr>
        <w:t>Программ</w:t>
      </w:r>
      <w:r w:rsidR="00ED526D" w:rsidRPr="00E533B3">
        <w:rPr>
          <w:b w:val="0"/>
          <w:sz w:val="26"/>
          <w:szCs w:val="26"/>
        </w:rPr>
        <w:t>ы</w:t>
      </w:r>
      <w:r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</w:t>
      </w:r>
      <w:r w:rsidR="006226E8">
        <w:rPr>
          <w:rFonts w:eastAsia="Calibri"/>
          <w:b w:val="0"/>
          <w:sz w:val="26"/>
          <w:szCs w:val="26"/>
        </w:rPr>
        <w:t xml:space="preserve">   </w:t>
      </w:r>
    </w:p>
    <w:p w:rsidR="00F72246" w:rsidRPr="00E533B3" w:rsidRDefault="00F72246" w:rsidP="006226E8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20" w:firstLine="0"/>
        <w:rPr>
          <w:b w:val="0"/>
          <w:sz w:val="26"/>
          <w:szCs w:val="26"/>
        </w:rPr>
      </w:pPr>
      <w:r w:rsidRPr="00E533B3">
        <w:rPr>
          <w:rFonts w:eastAsia="Calibri"/>
          <w:b w:val="0"/>
          <w:sz w:val="26"/>
          <w:szCs w:val="26"/>
        </w:rPr>
        <w:t xml:space="preserve">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E533B3">
        <w:rPr>
          <w:b w:val="0"/>
          <w:sz w:val="26"/>
          <w:szCs w:val="26"/>
        </w:rPr>
        <w:t xml:space="preserve"> (далее –</w:t>
      </w:r>
      <w:r w:rsidR="007945CB" w:rsidRPr="00E533B3">
        <w:rPr>
          <w:b w:val="0"/>
          <w:sz w:val="26"/>
          <w:szCs w:val="26"/>
        </w:rPr>
        <w:t xml:space="preserve"> </w:t>
      </w:r>
      <w:r w:rsidR="00516834" w:rsidRPr="00E533B3">
        <w:rPr>
          <w:b w:val="0"/>
          <w:sz w:val="26"/>
          <w:szCs w:val="26"/>
        </w:rPr>
        <w:t xml:space="preserve">Проект </w:t>
      </w:r>
      <w:r w:rsidR="00A44C3E" w:rsidRPr="00E533B3">
        <w:rPr>
          <w:b w:val="0"/>
          <w:sz w:val="26"/>
          <w:szCs w:val="26"/>
        </w:rPr>
        <w:t>1)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6226E8" w:rsidRDefault="00300CB8" w:rsidP="006226E8">
      <w:pPr>
        <w:pStyle w:val="ab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Утвердить проект Программы профилактики </w:t>
      </w: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</w:t>
      </w:r>
    </w:p>
    <w:p w:rsidR="00136A03" w:rsidRPr="00136A03" w:rsidRDefault="00300CB8" w:rsidP="00136A03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при осуществлении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Pr="00E900F1">
        <w:rPr>
          <w:rFonts w:ascii="Times New Roman" w:hAnsi="Times New Roman" w:cs="Times New Roman"/>
          <w:sz w:val="26"/>
          <w:szCs w:val="26"/>
        </w:rPr>
        <w:t>(далее –</w:t>
      </w:r>
      <w:r w:rsidR="000731AC">
        <w:rPr>
          <w:rFonts w:ascii="Times New Roman" w:hAnsi="Times New Roman" w:cs="Times New Roman"/>
          <w:sz w:val="26"/>
          <w:szCs w:val="26"/>
        </w:rPr>
        <w:t xml:space="preserve"> </w:t>
      </w:r>
      <w:r w:rsidR="00516834" w:rsidRPr="00E900F1">
        <w:rPr>
          <w:rFonts w:ascii="Times New Roman" w:hAnsi="Times New Roman" w:cs="Times New Roman"/>
          <w:sz w:val="26"/>
          <w:szCs w:val="26"/>
        </w:rPr>
        <w:t>Проект 2</w:t>
      </w:r>
      <w:r w:rsidRPr="00E900F1">
        <w:rPr>
          <w:rFonts w:ascii="Times New Roman" w:hAnsi="Times New Roman" w:cs="Times New Roman"/>
          <w:sz w:val="26"/>
          <w:szCs w:val="26"/>
        </w:rPr>
        <w:t xml:space="preserve">) 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Pr="00E900F1">
        <w:rPr>
          <w:rFonts w:ascii="Times New Roman" w:hAnsi="Times New Roman" w:cs="Times New Roman"/>
          <w:sz w:val="26"/>
          <w:szCs w:val="26"/>
        </w:rPr>
        <w:t>).</w:t>
      </w:r>
    </w:p>
    <w:p w:rsidR="00FB14B8" w:rsidRPr="00E900F1" w:rsidRDefault="00136A03" w:rsidP="00136A03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и подлежит размещению на официальном сайте муниципального района «Думиничский район»</w:t>
      </w:r>
      <w:r w:rsidRPr="00136A03">
        <w:t xml:space="preserve"> </w:t>
      </w:r>
      <w:hyperlink r:id="rId8" w:history="1">
        <w:r w:rsidR="007537CD" w:rsidRPr="007537CD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 в</w:t>
        </w:r>
      </w:hyperlink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течение 5 дней со дня утверждения.</w:t>
      </w:r>
    </w:p>
    <w:p w:rsidR="00BE25E6" w:rsidRPr="00E900F1" w:rsidRDefault="00BE25E6" w:rsidP="00136A03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line="277" w:lineRule="exact"/>
        <w:jc w:val="both"/>
        <w:rPr>
          <w:sz w:val="26"/>
          <w:szCs w:val="26"/>
        </w:rPr>
      </w:pPr>
      <w:proofErr w:type="gramStart"/>
      <w:r w:rsidRPr="00E900F1">
        <w:rPr>
          <w:sz w:val="26"/>
          <w:szCs w:val="26"/>
        </w:rPr>
        <w:t>Контроль за</w:t>
      </w:r>
      <w:proofErr w:type="gramEnd"/>
      <w:r w:rsidRPr="00E900F1">
        <w:rPr>
          <w:sz w:val="26"/>
          <w:szCs w:val="26"/>
        </w:rPr>
        <w:t xml:space="preserve"> выполнением настоящего </w:t>
      </w:r>
      <w:r w:rsidR="00136A03">
        <w:rPr>
          <w:rStyle w:val="aa"/>
          <w:rFonts w:eastAsia="Microsoft Sans Serif"/>
          <w:b w:val="0"/>
          <w:sz w:val="26"/>
          <w:szCs w:val="26"/>
        </w:rPr>
        <w:t>постановления</w:t>
      </w:r>
      <w:r w:rsidRPr="00E900F1">
        <w:rPr>
          <w:rStyle w:val="aa"/>
          <w:rFonts w:eastAsia="Microsoft Sans Serif"/>
          <w:b w:val="0"/>
          <w:sz w:val="26"/>
          <w:szCs w:val="26"/>
        </w:rPr>
        <w:t xml:space="preserve"> возложить на </w:t>
      </w:r>
      <w:r w:rsidR="00136A03">
        <w:rPr>
          <w:rStyle w:val="aa"/>
          <w:rFonts w:eastAsia="Microsoft Sans Serif"/>
          <w:b w:val="0"/>
          <w:sz w:val="26"/>
          <w:szCs w:val="26"/>
        </w:rPr>
        <w:t>перв</w:t>
      </w:r>
      <w:r w:rsidR="007537CD">
        <w:rPr>
          <w:rStyle w:val="aa"/>
          <w:rFonts w:eastAsia="Microsoft Sans Serif"/>
          <w:b w:val="0"/>
          <w:sz w:val="26"/>
          <w:szCs w:val="26"/>
        </w:rPr>
        <w:t>о</w:t>
      </w:r>
      <w:r w:rsidR="00136A03">
        <w:rPr>
          <w:rStyle w:val="aa"/>
          <w:rFonts w:eastAsia="Microsoft Sans Serif"/>
          <w:b w:val="0"/>
          <w:sz w:val="26"/>
          <w:szCs w:val="26"/>
        </w:rPr>
        <w:t>го</w:t>
      </w:r>
      <w:r w:rsidR="007537CD">
        <w:rPr>
          <w:rStyle w:val="aa"/>
          <w:rFonts w:eastAsia="Microsoft Sans Serif"/>
          <w:b w:val="0"/>
          <w:sz w:val="26"/>
          <w:szCs w:val="26"/>
        </w:rPr>
        <w:t xml:space="preserve"> заместителя главы</w:t>
      </w:r>
      <w:r w:rsidR="00136A03">
        <w:rPr>
          <w:rStyle w:val="aa"/>
          <w:rFonts w:eastAsia="Microsoft Sans Serif"/>
          <w:b w:val="0"/>
          <w:sz w:val="26"/>
          <w:szCs w:val="26"/>
        </w:rPr>
        <w:t xml:space="preserve"> </w:t>
      </w:r>
      <w:r w:rsidRPr="00E900F1">
        <w:rPr>
          <w:sz w:val="26"/>
          <w:szCs w:val="26"/>
        </w:rPr>
        <w:t xml:space="preserve">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7537CD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spellStart"/>
      <w:r w:rsidR="00185138">
        <w:rPr>
          <w:b/>
          <w:sz w:val="26"/>
          <w:szCs w:val="26"/>
        </w:rPr>
        <w:t>И.о</w:t>
      </w:r>
      <w:proofErr w:type="gramStart"/>
      <w:r w:rsidR="00185138">
        <w:rPr>
          <w:b/>
          <w:sz w:val="26"/>
          <w:szCs w:val="26"/>
        </w:rPr>
        <w:t>.</w:t>
      </w:r>
      <w:r w:rsidR="00AA0511" w:rsidRPr="006226E8">
        <w:rPr>
          <w:b/>
          <w:sz w:val="26"/>
          <w:szCs w:val="26"/>
        </w:rPr>
        <w:t>Г</w:t>
      </w:r>
      <w:proofErr w:type="gramEnd"/>
      <w:r w:rsidR="00AA0511" w:rsidRPr="006226E8">
        <w:rPr>
          <w:b/>
          <w:sz w:val="26"/>
          <w:szCs w:val="26"/>
        </w:rPr>
        <w:t>лав</w:t>
      </w:r>
      <w:r w:rsidR="00185138">
        <w:rPr>
          <w:b/>
          <w:sz w:val="26"/>
          <w:szCs w:val="26"/>
        </w:rPr>
        <w:t>ы</w:t>
      </w:r>
      <w:proofErr w:type="spellEnd"/>
      <w:r w:rsidR="00AA0511" w:rsidRPr="006226E8">
        <w:rPr>
          <w:b/>
          <w:sz w:val="26"/>
          <w:szCs w:val="26"/>
        </w:rPr>
        <w:t xml:space="preserve"> администрации            </w:t>
      </w:r>
      <w:r w:rsidR="006226E8" w:rsidRPr="006226E8">
        <w:rPr>
          <w:b/>
          <w:sz w:val="26"/>
          <w:szCs w:val="26"/>
        </w:rPr>
        <w:t xml:space="preserve">     </w:t>
      </w:r>
      <w:r w:rsidR="00AA0511" w:rsidRPr="006226E8">
        <w:rPr>
          <w:b/>
          <w:sz w:val="26"/>
          <w:szCs w:val="26"/>
        </w:rPr>
        <w:t xml:space="preserve">     </w:t>
      </w:r>
      <w:r w:rsidR="002D7D2C" w:rsidRPr="006226E8">
        <w:rPr>
          <w:b/>
          <w:sz w:val="26"/>
          <w:szCs w:val="26"/>
        </w:rPr>
        <w:t xml:space="preserve">     </w:t>
      </w:r>
      <w:r w:rsidR="00AD2A7A" w:rsidRPr="006226E8">
        <w:rPr>
          <w:b/>
          <w:sz w:val="26"/>
          <w:szCs w:val="26"/>
        </w:rPr>
        <w:t xml:space="preserve">           </w:t>
      </w:r>
      <w:r w:rsidR="006226E8" w:rsidRPr="006226E8">
        <w:rPr>
          <w:b/>
          <w:sz w:val="26"/>
          <w:szCs w:val="26"/>
        </w:rPr>
        <w:t xml:space="preserve">       </w:t>
      </w:r>
      <w:r w:rsidR="00AD2A7A" w:rsidRPr="006226E8">
        <w:rPr>
          <w:b/>
          <w:sz w:val="26"/>
          <w:szCs w:val="26"/>
        </w:rPr>
        <w:t xml:space="preserve"> </w:t>
      </w:r>
      <w:r w:rsidR="006226E8">
        <w:rPr>
          <w:b/>
          <w:sz w:val="26"/>
          <w:szCs w:val="26"/>
        </w:rPr>
        <w:t xml:space="preserve">             </w:t>
      </w:r>
      <w:r w:rsidR="00185138">
        <w:rPr>
          <w:b/>
          <w:sz w:val="26"/>
          <w:szCs w:val="26"/>
        </w:rPr>
        <w:t>Доносова С.А.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Pr="007E7F0F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7537CD" w:rsidRPr="00FF1A36" w:rsidRDefault="007537CD" w:rsidP="007537CD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537CD" w:rsidRPr="00FF1A36" w:rsidRDefault="007537CD" w:rsidP="007537CD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7537CD" w:rsidRPr="00FF1A36" w:rsidRDefault="007537CD" w:rsidP="007537CD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E10C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F1A3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1A3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8E10C7" w:rsidRPr="008E10C7">
        <w:rPr>
          <w:rFonts w:ascii="Times New Roman" w:hAnsi="Times New Roman" w:cs="Times New Roman"/>
          <w:sz w:val="26"/>
          <w:szCs w:val="26"/>
          <w:u w:val="single"/>
        </w:rPr>
        <w:t>605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8E0097" w:rsidRPr="007E7F0F" w:rsidRDefault="008E0097" w:rsidP="006226E8">
      <w:pPr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7537CD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F52B6" w:rsidRPr="004F52B6">
        <w:rPr>
          <w:b/>
          <w:sz w:val="26"/>
          <w:szCs w:val="26"/>
        </w:rPr>
        <w:t xml:space="preserve"> </w:t>
      </w:r>
      <w:r w:rsidR="004F52B6"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а</w:t>
      </w:r>
      <w:r w:rsidR="004F52B6"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7E7F0F" w:rsidRDefault="008E0097" w:rsidP="004217B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</w:p>
    <w:p w:rsidR="00A57BBC" w:rsidRPr="005D27BF" w:rsidRDefault="004217BB" w:rsidP="004217BB">
      <w:pPr>
        <w:pStyle w:val="20"/>
        <w:shd w:val="clear" w:color="auto" w:fill="auto"/>
        <w:tabs>
          <w:tab w:val="left" w:pos="106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Программа разработана на 202</w:t>
      </w:r>
      <w:r w:rsidR="00A57BBC">
        <w:rPr>
          <w:sz w:val="26"/>
          <w:szCs w:val="26"/>
        </w:rPr>
        <w:t>4 год.</w:t>
      </w:r>
    </w:p>
    <w:p w:rsidR="00A57BBC" w:rsidRDefault="004217BB" w:rsidP="004217BB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В рамках профилактики рисков причинения вреда (ущерба) охраняемым законом </w:t>
      </w:r>
      <w:r w:rsidRPr="000E4A37">
        <w:rPr>
          <w:rFonts w:ascii="Times New Roman" w:hAnsi="Times New Roman" w:cs="Times New Roman"/>
          <w:sz w:val="26"/>
          <w:szCs w:val="26"/>
        </w:rPr>
        <w:lastRenderedPageBreak/>
        <w:t>ценностям администрацией  в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9" w:history="1">
        <w:r w:rsidR="00A57BBC" w:rsidRPr="00A57BBC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="00A57BBC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8E0097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За 9 месяцев 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уполномоченным осуществлять муниципальный 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678D" w:rsidRDefault="00F8678D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="007537CD">
        <w:rPr>
          <w:rFonts w:ascii="Times New Roman" w:hAnsi="Times New Roman" w:cs="Times New Roman"/>
          <w:sz w:val="26"/>
          <w:szCs w:val="26"/>
        </w:rPr>
        <w:t>постановлению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37CD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7537CD">
        <w:rPr>
          <w:rFonts w:ascii="Times New Roman" w:hAnsi="Times New Roman" w:cs="Times New Roman"/>
          <w:sz w:val="26"/>
          <w:szCs w:val="26"/>
        </w:rPr>
        <w:t>1</w:t>
      </w:r>
      <w:r w:rsidR="008E10C7">
        <w:rPr>
          <w:rFonts w:ascii="Times New Roman" w:hAnsi="Times New Roman" w:cs="Times New Roman"/>
          <w:sz w:val="26"/>
          <w:szCs w:val="26"/>
        </w:rPr>
        <w:t>1</w:t>
      </w:r>
      <w:r w:rsidR="007537CD">
        <w:rPr>
          <w:rFonts w:ascii="Times New Roman" w:hAnsi="Times New Roman" w:cs="Times New Roman"/>
          <w:sz w:val="26"/>
          <w:szCs w:val="26"/>
        </w:rPr>
        <w:t>.12.</w:t>
      </w:r>
      <w:r w:rsidR="007537CD" w:rsidRPr="00FF1A36">
        <w:rPr>
          <w:rFonts w:ascii="Times New Roman" w:hAnsi="Times New Roman" w:cs="Times New Roman"/>
          <w:sz w:val="26"/>
          <w:szCs w:val="26"/>
        </w:rPr>
        <w:t>202</w:t>
      </w:r>
      <w:r w:rsidR="007537CD">
        <w:rPr>
          <w:rFonts w:ascii="Times New Roman" w:hAnsi="Times New Roman" w:cs="Times New Roman"/>
          <w:sz w:val="26"/>
          <w:szCs w:val="26"/>
        </w:rPr>
        <w:t>3</w:t>
      </w:r>
      <w:r w:rsidR="007537CD" w:rsidRPr="00FF1A36">
        <w:rPr>
          <w:rFonts w:ascii="Times New Roman" w:hAnsi="Times New Roman" w:cs="Times New Roman"/>
          <w:sz w:val="26"/>
          <w:szCs w:val="26"/>
        </w:rPr>
        <w:t xml:space="preserve"> г.</w:t>
      </w:r>
      <w:r w:rsidR="007537CD">
        <w:rPr>
          <w:rFonts w:ascii="Times New Roman" w:hAnsi="Times New Roman" w:cs="Times New Roman"/>
          <w:sz w:val="26"/>
          <w:szCs w:val="26"/>
        </w:rPr>
        <w:t xml:space="preserve">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57BBC">
        <w:rPr>
          <w:rFonts w:ascii="Times New Roman" w:hAnsi="Times New Roman" w:cs="Times New Roman"/>
          <w:sz w:val="26"/>
          <w:szCs w:val="26"/>
        </w:rPr>
        <w:t>_</w:t>
      </w:r>
      <w:r w:rsidR="008E10C7" w:rsidRPr="008E10C7">
        <w:rPr>
          <w:rFonts w:ascii="Times New Roman" w:hAnsi="Times New Roman" w:cs="Times New Roman"/>
          <w:sz w:val="26"/>
          <w:szCs w:val="26"/>
          <w:u w:val="single"/>
        </w:rPr>
        <w:t>605</w:t>
      </w:r>
      <w:r w:rsidR="00A57BBC">
        <w:rPr>
          <w:rFonts w:ascii="Times New Roman" w:hAnsi="Times New Roman" w:cs="Times New Roman"/>
          <w:sz w:val="26"/>
          <w:szCs w:val="26"/>
        </w:rPr>
        <w:t>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7537CD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2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2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</w:t>
      </w:r>
      <w:r w:rsidR="00A57BBC">
        <w:rPr>
          <w:sz w:val="26"/>
          <w:szCs w:val="26"/>
        </w:rPr>
        <w:t>4 год.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Default="0052241E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4217BB" w:rsidRPr="004217BB" w:rsidRDefault="004217BB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3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3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4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4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87"/>
        <w:gridCol w:w="1984"/>
        <w:gridCol w:w="2368"/>
      </w:tblGrid>
      <w:tr w:rsidR="00A26A80" w:rsidTr="006904BE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6904BE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6904BE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A58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IV квартал 202</w:t>
            </w:r>
            <w:r w:rsidR="00AA58C6">
              <w:rPr>
                <w:sz w:val="24"/>
                <w:szCs w:val="24"/>
              </w:rPr>
              <w:t>3</w:t>
            </w:r>
            <w:r w:rsidRPr="006904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991585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6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6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2A1E87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277" w:lineRule="exact"/>
        <w:ind w:left="0" w:right="-6" w:firstLine="709"/>
        <w:jc w:val="both"/>
        <w:rPr>
          <w:sz w:val="26"/>
          <w:szCs w:val="26"/>
        </w:rPr>
      </w:pP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>Программы на 202</w:t>
      </w:r>
      <w:r w:rsidR="00AA58C6">
        <w:rPr>
          <w:sz w:val="26"/>
          <w:szCs w:val="26"/>
        </w:rPr>
        <w:t>4г.</w:t>
      </w:r>
      <w:r w:rsidRPr="002A1E87">
        <w:rPr>
          <w:sz w:val="26"/>
          <w:szCs w:val="26"/>
        </w:rPr>
        <w:t xml:space="preserve">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653D4C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left="0" w:right="-8" w:firstLine="709"/>
        <w:jc w:val="both"/>
        <w:rPr>
          <w:b/>
          <w:sz w:val="26"/>
          <w:szCs w:val="26"/>
        </w:rPr>
      </w:pP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FF1A36" w:rsidRPr="00FF1A36" w:rsidRDefault="00C85786" w:rsidP="00F8678D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472AA4"/>
    <w:multiLevelType w:val="hybridMultilevel"/>
    <w:tmpl w:val="650C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5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8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9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4"/>
  </w:num>
  <w:num w:numId="10">
    <w:abstractNumId w:val="20"/>
  </w:num>
  <w:num w:numId="11">
    <w:abstractNumId w:val="14"/>
  </w:num>
  <w:num w:numId="12">
    <w:abstractNumId w:val="19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D4"/>
    <w:rsid w:val="00022CEE"/>
    <w:rsid w:val="000731AC"/>
    <w:rsid w:val="000B7C80"/>
    <w:rsid w:val="000E1377"/>
    <w:rsid w:val="000E35CE"/>
    <w:rsid w:val="000E4A37"/>
    <w:rsid w:val="00115631"/>
    <w:rsid w:val="00124F73"/>
    <w:rsid w:val="00136A03"/>
    <w:rsid w:val="00144703"/>
    <w:rsid w:val="00167A6B"/>
    <w:rsid w:val="00170852"/>
    <w:rsid w:val="00185138"/>
    <w:rsid w:val="001A6A8A"/>
    <w:rsid w:val="001A78FA"/>
    <w:rsid w:val="0020374A"/>
    <w:rsid w:val="002507F5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4167D0"/>
    <w:rsid w:val="004217BB"/>
    <w:rsid w:val="00430B62"/>
    <w:rsid w:val="00463CBB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26E8"/>
    <w:rsid w:val="00626B84"/>
    <w:rsid w:val="00653D4C"/>
    <w:rsid w:val="00665D49"/>
    <w:rsid w:val="00683F96"/>
    <w:rsid w:val="006904BE"/>
    <w:rsid w:val="006B35CD"/>
    <w:rsid w:val="006B44D7"/>
    <w:rsid w:val="006B7C8A"/>
    <w:rsid w:val="00731EA0"/>
    <w:rsid w:val="00732FBF"/>
    <w:rsid w:val="00741FB7"/>
    <w:rsid w:val="007537CD"/>
    <w:rsid w:val="007900A7"/>
    <w:rsid w:val="007945CB"/>
    <w:rsid w:val="00795872"/>
    <w:rsid w:val="007E7F0F"/>
    <w:rsid w:val="00831593"/>
    <w:rsid w:val="00891E9C"/>
    <w:rsid w:val="00895849"/>
    <w:rsid w:val="008D19D3"/>
    <w:rsid w:val="008E0097"/>
    <w:rsid w:val="008E10C7"/>
    <w:rsid w:val="008E518C"/>
    <w:rsid w:val="008E562E"/>
    <w:rsid w:val="008F68CF"/>
    <w:rsid w:val="00977C3C"/>
    <w:rsid w:val="009843F2"/>
    <w:rsid w:val="0098792D"/>
    <w:rsid w:val="009A3B39"/>
    <w:rsid w:val="009A72F0"/>
    <w:rsid w:val="009C65E0"/>
    <w:rsid w:val="009F5305"/>
    <w:rsid w:val="00A060F2"/>
    <w:rsid w:val="00A26A80"/>
    <w:rsid w:val="00A44C3E"/>
    <w:rsid w:val="00A57BBC"/>
    <w:rsid w:val="00A855CE"/>
    <w:rsid w:val="00A935B7"/>
    <w:rsid w:val="00A951E9"/>
    <w:rsid w:val="00A95283"/>
    <w:rsid w:val="00A96753"/>
    <w:rsid w:val="00AA0511"/>
    <w:rsid w:val="00AA58C6"/>
    <w:rsid w:val="00AD2A7A"/>
    <w:rsid w:val="00B4449F"/>
    <w:rsid w:val="00B62350"/>
    <w:rsid w:val="00BD3C61"/>
    <w:rsid w:val="00BE25E6"/>
    <w:rsid w:val="00C25907"/>
    <w:rsid w:val="00C85786"/>
    <w:rsid w:val="00CD4FEB"/>
    <w:rsid w:val="00D16037"/>
    <w:rsid w:val="00D43808"/>
    <w:rsid w:val="00D72C68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336FB"/>
    <w:rsid w:val="00F60D81"/>
    <w:rsid w:val="00F72246"/>
    <w:rsid w:val="00F820E6"/>
    <w:rsid w:val="00F8678D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%20&#107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Администрация МР</cp:lastModifiedBy>
  <cp:revision>18</cp:revision>
  <cp:lastPrinted>2023-12-11T12:28:00Z</cp:lastPrinted>
  <dcterms:created xsi:type="dcterms:W3CDTF">2021-10-05T15:00:00Z</dcterms:created>
  <dcterms:modified xsi:type="dcterms:W3CDTF">2023-12-11T12:30:00Z</dcterms:modified>
</cp:coreProperties>
</file>