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4E" w:rsidRPr="0071214E" w:rsidRDefault="0071214E" w:rsidP="00A42A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2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 июня протезы можно получать по электронному сертификату</w:t>
      </w:r>
    </w:p>
    <w:p w:rsidR="0071214E" w:rsidRPr="00A42A8C" w:rsidRDefault="0071214E" w:rsidP="00A4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июня т.г. расширен перечень технических средств реабилитации (ТСР), которые можно приобрести по электронному сертификату. Теперь в нем предусмотрено 26 новых позиций, включая протезы верхних и нижних конечностей. Всего в перечне уже около 270 различных средств реабилитац</w:t>
      </w:r>
      <w:bookmarkStart w:id="0" w:name="_GoBack"/>
      <w:bookmarkEnd w:id="0"/>
      <w:r w:rsidRPr="00A42A8C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71214E" w:rsidRPr="00A42A8C" w:rsidRDefault="0071214E" w:rsidP="00A4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A8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A4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инвалидностью начиная с этого месяца могут приобретать протезы верхних и нижних конечностей по электронному сертификату. До сих пор получить такие средства реабилитации можно было двумя способами. Первый – это подать заявку в Социальный фонд и дождаться выдачи изделия. Второй – самостоятельно купить протез и затем получить компенсацию расходов в Социальном фонде. Теперь доступна еще и опция с электронным сертификатом.</w:t>
      </w:r>
    </w:p>
    <w:p w:rsidR="0071214E" w:rsidRPr="00A42A8C" w:rsidRDefault="0071214E" w:rsidP="00A42A8C">
      <w:pPr>
        <w:spacing w:before="100" w:beforeAutospacing="1" w:after="100" w:afterAutospacing="1"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A42A8C">
        <w:rPr>
          <w:rStyle w:val="layout"/>
          <w:rFonts w:ascii="Times New Roman" w:hAnsi="Times New Roman" w:cs="Times New Roman"/>
          <w:sz w:val="28"/>
          <w:szCs w:val="28"/>
        </w:rPr>
        <w:t>В Калужской области за последний год  обеспечено</w:t>
      </w:r>
      <w:r w:rsidR="007853BF" w:rsidRPr="00A42A8C">
        <w:rPr>
          <w:rStyle w:val="layout"/>
          <w:rFonts w:ascii="Times New Roman" w:hAnsi="Times New Roman" w:cs="Times New Roman"/>
          <w:sz w:val="28"/>
          <w:szCs w:val="28"/>
        </w:rPr>
        <w:t xml:space="preserve"> такими средствами реабилитации 254 человека</w:t>
      </w:r>
      <w:r w:rsidRPr="00A42A8C">
        <w:rPr>
          <w:rStyle w:val="layout"/>
          <w:rFonts w:ascii="Times New Roman" w:hAnsi="Times New Roman" w:cs="Times New Roman"/>
          <w:sz w:val="28"/>
          <w:szCs w:val="28"/>
        </w:rPr>
        <w:t>. Региональное отделение Социального фонда компенсировало их стоимость на общую сумму 65,6 млн. рублей</w:t>
      </w:r>
      <w:r w:rsidR="007853BF" w:rsidRPr="00A42A8C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71214E" w:rsidRPr="00A42A8C" w:rsidRDefault="0071214E" w:rsidP="00A4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получение ТСР по сертификату набирает популярность. К настоящему времени уже выпущено более 320 тыс. сертификатов на 6,1 </w:t>
      </w:r>
      <w:proofErr w:type="gramStart"/>
      <w:r w:rsidRPr="00A4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A4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Возможности этого способа приобрести средство реабилитации постепенно расширяются. Если на первом этапе сертификат позволял купить только серийные ТСР, теперь это еще и индивидуальные изделия, сделанные на заказ. Это позволяет подобрать именно то изделие, которое подойдет для комфортной реабилитации и социализации с учетом необходимых функциональных характеристик и особенностей здоровья.</w:t>
      </w:r>
    </w:p>
    <w:p w:rsidR="0089789B" w:rsidRDefault="0089789B"/>
    <w:sectPr w:rsidR="0089789B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14E"/>
    <w:rsid w:val="0071214E"/>
    <w:rsid w:val="007853BF"/>
    <w:rsid w:val="007D52A3"/>
    <w:rsid w:val="0089789B"/>
    <w:rsid w:val="00A42A8C"/>
    <w:rsid w:val="00BC1021"/>
    <w:rsid w:val="00D5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8C"/>
  </w:style>
  <w:style w:type="paragraph" w:styleId="1">
    <w:name w:val="heading 1"/>
    <w:basedOn w:val="a"/>
    <w:link w:val="10"/>
    <w:uiPriority w:val="9"/>
    <w:qFormat/>
    <w:rsid w:val="00712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12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2</cp:revision>
  <dcterms:created xsi:type="dcterms:W3CDTF">2023-06-13T05:42:00Z</dcterms:created>
  <dcterms:modified xsi:type="dcterms:W3CDTF">2023-06-19T07:02:00Z</dcterms:modified>
</cp:coreProperties>
</file>