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6D9" w:rsidRPr="00CA06D9" w:rsidRDefault="00CA06D9" w:rsidP="00CA06D9">
      <w:pPr>
        <w:shd w:val="clear" w:color="auto" w:fill="FFFFFF"/>
        <w:spacing w:after="0" w:line="240" w:lineRule="auto"/>
        <w:jc w:val="center"/>
        <w:textAlignment w:val="baseline"/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</w:pPr>
      <w:r w:rsidRPr="00CA06D9">
        <w:rPr>
          <w:rFonts w:ascii="pt_sansbold" w:eastAsia="Times New Roman" w:hAnsi="pt_sansbold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ИНФОРМАЦИОННОЕ СООБЩЕНИЕ</w:t>
      </w:r>
    </w:p>
    <w:p w:rsidR="00CA06D9" w:rsidRPr="00CA06D9" w:rsidRDefault="00CA06D9" w:rsidP="00CA06D9">
      <w:pPr>
        <w:shd w:val="clear" w:color="auto" w:fill="FFFFFF"/>
        <w:spacing w:after="0" w:line="240" w:lineRule="auto"/>
        <w:textAlignment w:val="baseline"/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</w:pPr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 </w:t>
      </w:r>
      <w:r w:rsidRPr="00CA06D9">
        <w:rPr>
          <w:rFonts w:ascii="pt_sansbold" w:eastAsia="Times New Roman" w:hAnsi="pt_sansbold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 проведении 18 ноября 2019 г.  в 10:00 аукциона в электронной форме по продаже имущества, находящегося в муниципальной собственности</w:t>
      </w:r>
    </w:p>
    <w:p w:rsidR="00CA06D9" w:rsidRPr="00CA06D9" w:rsidRDefault="00CA06D9" w:rsidP="00CA06D9">
      <w:pPr>
        <w:shd w:val="clear" w:color="auto" w:fill="FFFFFF"/>
        <w:spacing w:after="300" w:line="240" w:lineRule="auto"/>
        <w:textAlignment w:val="baseline"/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</w:pPr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    Аукцион проводится в соответствии с Гражданским кодексом Российской Федерации, Федеральным законом Российской Федерации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860, Регламента электронной площадки «Сбербанк-АСТ».</w:t>
      </w:r>
    </w:p>
    <w:p w:rsidR="00CA06D9" w:rsidRPr="00CA06D9" w:rsidRDefault="00CA06D9" w:rsidP="00CA06D9">
      <w:pPr>
        <w:shd w:val="clear" w:color="auto" w:fill="FFFFFF"/>
        <w:spacing w:after="0"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</w:pPr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             </w:t>
      </w:r>
      <w:r w:rsidRPr="00CA06D9">
        <w:rPr>
          <w:rFonts w:ascii="pt_sansbold" w:eastAsia="Times New Roman" w:hAnsi="pt_sansbold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Способ приватизации:</w:t>
      </w:r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 Продажа муниципального имущества на аукционе.</w:t>
      </w:r>
    </w:p>
    <w:p w:rsidR="00CA06D9" w:rsidRPr="00CA06D9" w:rsidRDefault="00CA06D9" w:rsidP="00CA06D9">
      <w:pPr>
        <w:shd w:val="clear" w:color="auto" w:fill="FFFFFF"/>
        <w:spacing w:after="0"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</w:pPr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 </w:t>
      </w:r>
      <w:r w:rsidRPr="00CA06D9">
        <w:rPr>
          <w:rFonts w:ascii="pt_sansbold" w:eastAsia="Times New Roman" w:hAnsi="pt_sansbold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            Форма подачи предложений о цене: </w:t>
      </w:r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Предложения о цене муниципального имущества заявляются участниками аукциона открыто в ходе проведения торгов на электронной площадке.</w:t>
      </w:r>
    </w:p>
    <w:p w:rsidR="00CA06D9" w:rsidRPr="00CA06D9" w:rsidRDefault="00CA06D9" w:rsidP="00CA06D9">
      <w:pPr>
        <w:shd w:val="clear" w:color="auto" w:fill="FFFFFF"/>
        <w:spacing w:after="0"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</w:pPr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 </w:t>
      </w:r>
      <w:r w:rsidRPr="00CA06D9">
        <w:rPr>
          <w:rFonts w:ascii="pt_sansbold" w:eastAsia="Times New Roman" w:hAnsi="pt_sansbold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Орган, принявший решение об условиях приватизации имущества: </w:t>
      </w:r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Администрация муниципального района «</w:t>
      </w:r>
      <w:proofErr w:type="spellStart"/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Думиничский</w:t>
      </w:r>
      <w:proofErr w:type="spellEnd"/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 xml:space="preserve"> район» Калужской области.</w:t>
      </w:r>
    </w:p>
    <w:p w:rsidR="00CA06D9" w:rsidRPr="00CA06D9" w:rsidRDefault="00CA06D9" w:rsidP="00CA06D9">
      <w:pPr>
        <w:shd w:val="clear" w:color="auto" w:fill="FFFFFF"/>
        <w:spacing w:after="0"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</w:pPr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 </w:t>
      </w:r>
      <w:r w:rsidRPr="00CA06D9">
        <w:rPr>
          <w:rFonts w:ascii="pt_sansbold" w:eastAsia="Times New Roman" w:hAnsi="pt_sansbold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Основание проведения аукциона:</w:t>
      </w:r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 распоряжение администрации муниципального района «</w:t>
      </w:r>
      <w:proofErr w:type="spellStart"/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Думиничский</w:t>
      </w:r>
      <w:proofErr w:type="spellEnd"/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 xml:space="preserve"> район» Калужской области от 9 сентября 2019 года № 194-р.</w:t>
      </w:r>
    </w:p>
    <w:p w:rsidR="00CA06D9" w:rsidRPr="00CA06D9" w:rsidRDefault="00CA06D9" w:rsidP="00CA06D9">
      <w:pPr>
        <w:shd w:val="clear" w:color="auto" w:fill="FFFFFF"/>
        <w:spacing w:after="0"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</w:pPr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 </w:t>
      </w:r>
      <w:r w:rsidRPr="00CA06D9">
        <w:rPr>
          <w:rFonts w:ascii="pt_sansbold" w:eastAsia="Times New Roman" w:hAnsi="pt_sansbold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Продавец (Организатор): </w:t>
      </w:r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Администрация муниципального района «</w:t>
      </w:r>
      <w:proofErr w:type="spellStart"/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Думиничский</w:t>
      </w:r>
      <w:proofErr w:type="spellEnd"/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 xml:space="preserve"> район» Калужской области.</w:t>
      </w:r>
    </w:p>
    <w:p w:rsidR="00CA06D9" w:rsidRPr="00CA06D9" w:rsidRDefault="00CA06D9" w:rsidP="00CA06D9">
      <w:pPr>
        <w:shd w:val="clear" w:color="auto" w:fill="FFFFFF"/>
        <w:spacing w:after="0"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</w:pPr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 </w:t>
      </w:r>
      <w:r w:rsidRPr="00CA06D9">
        <w:rPr>
          <w:rFonts w:ascii="pt_sansbold" w:eastAsia="Times New Roman" w:hAnsi="pt_sansbold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Оператор электронной площадки:</w:t>
      </w:r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 ЗАО «Сбербанк – АСТ», сайт </w:t>
      </w:r>
      <w:hyperlink r:id="rId5" w:history="1">
        <w:r w:rsidRPr="00CA06D9">
          <w:rPr>
            <w:rFonts w:ascii="pt_sansregular" w:eastAsia="Times New Roman" w:hAnsi="pt_sansregular" w:cs="Times New Roman"/>
            <w:color w:val="999999"/>
            <w:sz w:val="24"/>
            <w:szCs w:val="24"/>
            <w:u w:val="single"/>
            <w:bdr w:val="none" w:sz="0" w:space="0" w:color="auto" w:frame="1"/>
            <w:lang w:eastAsia="ru-RU"/>
          </w:rPr>
          <w:t>http://utp.sberbank-ast.ru</w:t>
        </w:r>
      </w:hyperlink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 в информационно-телекоммуникационной сети «Интернет».</w:t>
      </w:r>
    </w:p>
    <w:p w:rsidR="00CA06D9" w:rsidRPr="00CA06D9" w:rsidRDefault="00CA06D9" w:rsidP="00CA06D9">
      <w:pPr>
        <w:shd w:val="clear" w:color="auto" w:fill="FFFFFF"/>
        <w:spacing w:after="0"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</w:pPr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 </w:t>
      </w:r>
      <w:r w:rsidRPr="00CA06D9">
        <w:rPr>
          <w:rFonts w:ascii="pt_sansbold" w:eastAsia="Times New Roman" w:hAnsi="pt_sansbold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1. СВЕДЕНИЯ ОБ ИМУЩЕСТВЕ:</w:t>
      </w:r>
    </w:p>
    <w:p w:rsidR="00CA06D9" w:rsidRPr="00CA06D9" w:rsidRDefault="00CA06D9" w:rsidP="00CA06D9">
      <w:pPr>
        <w:shd w:val="clear" w:color="auto" w:fill="FFFFFF"/>
        <w:spacing w:after="0"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</w:pPr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 </w:t>
      </w:r>
      <w:r w:rsidRPr="00CA06D9">
        <w:rPr>
          <w:rFonts w:ascii="pt_sansbold" w:eastAsia="Times New Roman" w:hAnsi="pt_sansbold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Предмет аукциона </w:t>
      </w:r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(</w:t>
      </w:r>
      <w:proofErr w:type="spellStart"/>
      <w:proofErr w:type="gramStart"/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наименование,характеристика</w:t>
      </w:r>
      <w:proofErr w:type="spellEnd"/>
      <w:proofErr w:type="gramEnd"/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 xml:space="preserve"> имущества):</w:t>
      </w:r>
    </w:p>
    <w:p w:rsidR="00CA06D9" w:rsidRPr="00CA06D9" w:rsidRDefault="00CA06D9" w:rsidP="00CA06D9">
      <w:pPr>
        <w:shd w:val="clear" w:color="auto" w:fill="FFFFFF"/>
        <w:spacing w:after="300"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</w:pPr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 xml:space="preserve"> - здание, назначение: нежилое здание, наименование: здание гаража, количество этажей: 1, площадь 687 </w:t>
      </w:r>
      <w:proofErr w:type="spellStart"/>
      <w:proofErr w:type="gramStart"/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кв.м</w:t>
      </w:r>
      <w:proofErr w:type="spellEnd"/>
      <w:proofErr w:type="gramEnd"/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 xml:space="preserve">, год ввода в эксплуатацию: 1992, адрес: Калужская обл., р-н </w:t>
      </w:r>
      <w:proofErr w:type="spellStart"/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Думиничский</w:t>
      </w:r>
      <w:proofErr w:type="spellEnd"/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,                       ст. Думиничи ул. Привокзальная, дом 42а/5, кадастровый номер: 40:05:110201:202;</w:t>
      </w:r>
    </w:p>
    <w:p w:rsidR="00CA06D9" w:rsidRPr="00CA06D9" w:rsidRDefault="00CA06D9" w:rsidP="00CA06D9">
      <w:pPr>
        <w:shd w:val="clear" w:color="auto" w:fill="FFFFFF"/>
        <w:spacing w:after="300"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</w:pPr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 xml:space="preserve"> - земельный участок, категория земель: земли населенных пунктов, разрешенное использование: для размещения производственных и административных зданий, строений, сооружений промышленности, кадастровый номер: 40:05:110201:267, площадь 1605 </w:t>
      </w:r>
      <w:proofErr w:type="spellStart"/>
      <w:proofErr w:type="gramStart"/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кв.м</w:t>
      </w:r>
      <w:proofErr w:type="spellEnd"/>
      <w:proofErr w:type="gramEnd"/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 xml:space="preserve">, адрес: Калужская область, </w:t>
      </w:r>
      <w:proofErr w:type="spellStart"/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Думиничский</w:t>
      </w:r>
      <w:proofErr w:type="spellEnd"/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 xml:space="preserve"> район,                       ж.-д. ст. Думиничи ул. Привокзальная, дом 42а/5.</w:t>
      </w:r>
    </w:p>
    <w:p w:rsidR="00CA06D9" w:rsidRPr="00CA06D9" w:rsidRDefault="00CA06D9" w:rsidP="00CA06D9">
      <w:pPr>
        <w:shd w:val="clear" w:color="auto" w:fill="FFFFFF"/>
        <w:spacing w:after="0"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</w:pPr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 </w:t>
      </w:r>
      <w:r w:rsidRPr="00CA06D9">
        <w:rPr>
          <w:rFonts w:ascii="pt_sansbold" w:eastAsia="Times New Roman" w:hAnsi="pt_sansbold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Начальная цена продажи имущества</w:t>
      </w:r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 (согласно данным независимой оценки): 1 543 167 руб.                 (без учета НДС), в том числе здание: 1 339 167 руб. (без учета НДС), земельного участка: 204 000 руб.               (НДС не облагается).</w:t>
      </w:r>
    </w:p>
    <w:p w:rsidR="00CA06D9" w:rsidRPr="00CA06D9" w:rsidRDefault="00CA06D9" w:rsidP="00CA06D9">
      <w:pPr>
        <w:shd w:val="clear" w:color="auto" w:fill="FFFFFF"/>
        <w:spacing w:after="0"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</w:pPr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 </w:t>
      </w:r>
      <w:r w:rsidRPr="00CA06D9">
        <w:rPr>
          <w:rFonts w:ascii="pt_sansbold" w:eastAsia="Times New Roman" w:hAnsi="pt_sansbold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Шаг аукциона </w:t>
      </w:r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(5% от начальной цены продажи имущества): 77 158,35 руб.</w:t>
      </w:r>
    </w:p>
    <w:p w:rsidR="00CA06D9" w:rsidRPr="00CA06D9" w:rsidRDefault="00CA06D9" w:rsidP="00CA06D9">
      <w:pPr>
        <w:shd w:val="clear" w:color="auto" w:fill="FFFFFF"/>
        <w:spacing w:after="0"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</w:pPr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 </w:t>
      </w:r>
      <w:r w:rsidRPr="00CA06D9">
        <w:rPr>
          <w:rFonts w:ascii="pt_sansbold" w:eastAsia="Times New Roman" w:hAnsi="pt_sansbold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Сумма задатка </w:t>
      </w:r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(20% от начальной цены продажи имущества): 308 633,40 руб.</w:t>
      </w:r>
    </w:p>
    <w:p w:rsidR="00CA06D9" w:rsidRPr="00CA06D9" w:rsidRDefault="00CA06D9" w:rsidP="00CA06D9">
      <w:pPr>
        <w:shd w:val="clear" w:color="auto" w:fill="FFFFFF"/>
        <w:spacing w:after="0"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</w:pPr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 </w:t>
      </w:r>
      <w:r w:rsidRPr="00CA06D9">
        <w:rPr>
          <w:rFonts w:ascii="pt_sansbold" w:eastAsia="Times New Roman" w:hAnsi="pt_sansbold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Информация о предыдущих торгах:</w:t>
      </w:r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 не проводились.</w:t>
      </w:r>
    </w:p>
    <w:p w:rsidR="00CA06D9" w:rsidRPr="00CA06D9" w:rsidRDefault="00CA06D9" w:rsidP="00CA06D9">
      <w:pPr>
        <w:shd w:val="clear" w:color="auto" w:fill="FFFFFF"/>
        <w:spacing w:after="300" w:line="240" w:lineRule="auto"/>
        <w:jc w:val="both"/>
        <w:textAlignment w:val="baseline"/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</w:pPr>
      <w:r w:rsidRPr="00CA06D9">
        <w:rPr>
          <w:rFonts w:ascii="pt_sansregular" w:eastAsia="Times New Roman" w:hAnsi="pt_sansregular" w:cs="Times New Roman"/>
          <w:color w:val="333333"/>
          <w:sz w:val="24"/>
          <w:szCs w:val="24"/>
          <w:lang w:eastAsia="ru-RU"/>
        </w:rPr>
        <w:t>             Осмотр имущества осуществляется по согласованию с продавцом, тел: 8 (48447) 9 16 81.</w:t>
      </w:r>
    </w:p>
    <w:p w:rsidR="00D402AB" w:rsidRPr="00CA06D9" w:rsidRDefault="00D402AB" w:rsidP="00CA06D9">
      <w:bookmarkStart w:id="0" w:name="_GoBack"/>
      <w:bookmarkEnd w:id="0"/>
    </w:p>
    <w:sectPr w:rsidR="00D402AB" w:rsidRPr="00CA0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_sansregular">
    <w:altName w:val="Times New Roman"/>
    <w:panose1 w:val="00000000000000000000"/>
    <w:charset w:val="00"/>
    <w:family w:val="roman"/>
    <w:notTrueType/>
    <w:pitch w:val="default"/>
  </w:font>
  <w:font w:name="pt_sans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FF7E9C"/>
    <w:multiLevelType w:val="multilevel"/>
    <w:tmpl w:val="DAE89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85D"/>
    <w:rsid w:val="0062085D"/>
    <w:rsid w:val="00CA06D9"/>
    <w:rsid w:val="00D40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1DE174-8694-474C-A156-C76F59459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085D"/>
    <w:rPr>
      <w:b/>
      <w:bCs/>
    </w:rPr>
  </w:style>
  <w:style w:type="character" w:styleId="a5">
    <w:name w:val="Emphasis"/>
    <w:basedOn w:val="a0"/>
    <w:uiPriority w:val="20"/>
    <w:qFormat/>
    <w:rsid w:val="0062085D"/>
    <w:rPr>
      <w:i/>
      <w:iCs/>
    </w:rPr>
  </w:style>
  <w:style w:type="character" w:styleId="a6">
    <w:name w:val="Hyperlink"/>
    <w:basedOn w:val="a0"/>
    <w:uiPriority w:val="99"/>
    <w:semiHidden/>
    <w:unhideWhenUsed/>
    <w:rsid w:val="006208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8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2022-12-29T07:10:00Z</dcterms:created>
  <dcterms:modified xsi:type="dcterms:W3CDTF">2022-12-29T07:10:00Z</dcterms:modified>
</cp:coreProperties>
</file>