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О повышении эффективности использования бюджетных средств и итогах исполнения местного бюджета в 2020 году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u w:val="single"/>
          <w:lang w:eastAsia="ru-RU"/>
        </w:rPr>
        <w:t>Итоги исполнения местных бюджетов за 2020 год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u w:val="single"/>
          <w:lang w:eastAsia="ru-RU"/>
        </w:rPr>
        <w:t>ДОХОДЫ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 За 2020 год в </w:t>
      </w:r>
      <w:r w:rsidRPr="00602B41">
        <w:rPr>
          <w:rFonts w:ascii="pt_sansbold" w:eastAsia="Times New Roman" w:hAnsi="pt_sansbold" w:cs="Times New Roman"/>
          <w:b/>
          <w:bCs/>
          <w:color w:val="333333"/>
          <w:u w:val="single"/>
          <w:lang w:eastAsia="ru-RU"/>
        </w:rPr>
        <w:t>консолидированный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 бюджет района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поступило 600220,9 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что на 56714,3 тыс.руб. больше, чем в 2019 году.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u w:val="single"/>
          <w:lang w:eastAsia="ru-RU"/>
        </w:rPr>
        <w:t>Налоговых и неналоговых доходов поступило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– 144432,2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 или больше на 5486,5 тыс.руб. поступлений 2019 года, темп роста к 2019 году составил 103,9%. План года исполнен на 97,5%.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Безвозмездных поступлений получено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– 455788,7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что составляет 98,1% от уточненного годового плана.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Анализируя итоги исполнения </w:t>
      </w:r>
      <w:r w:rsidRPr="00602B41">
        <w:rPr>
          <w:rFonts w:ascii="pt_sansbold" w:eastAsia="Times New Roman" w:hAnsi="pt_sansbold" w:cs="Times New Roman"/>
          <w:b/>
          <w:bCs/>
          <w:color w:val="333333"/>
          <w:u w:val="single"/>
          <w:lang w:eastAsia="ru-RU"/>
        </w:rPr>
        <w:t>бюджета муниципального района «Думиничский район» за 2020 год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следует отметить, что в бюджет поступило 547284,7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из них: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налоговые и неналоговые доходы 114679,6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что составляет 97,8% от уточненного плана,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к уровню 2019 года увеличение на 4119,8 тыс.руб..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Исполнение бюджета муниципального района в разрезе налоговых и неналоговых доходных источников: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уб.)</w:t>
      </w:r>
    </w:p>
    <w:tbl>
      <w:tblPr>
        <w:tblW w:w="7051" w:type="dxa"/>
        <w:tblCellMar>
          <w:left w:w="0" w:type="dxa"/>
          <w:right w:w="0" w:type="dxa"/>
        </w:tblCellMar>
        <w:tblLook w:val="04A0"/>
      </w:tblPr>
      <w:tblGrid>
        <w:gridCol w:w="2642"/>
        <w:gridCol w:w="1680"/>
        <w:gridCol w:w="1382"/>
        <w:gridCol w:w="1347"/>
      </w:tblGrid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Наименование налогов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Уточненный план на 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Исполнено за 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t>Штрафы, санкции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114679,6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 Доходы бюджетов поселений района исполнены 98,1% (факт 128457,8 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уб.: план 130906,5 тыс.руб.).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 Налоговые и неналоговые доходы при уточненном годовом плане 30977,1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 исполнены в сумме 29752,6 тыс.руб., что составляет 96 %. К уровню 2019 года увеличение поступлений на 1366,6 тыс.руб. или 104,9%.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 безвозмездные поступления от других бюджетов поступили в объеме 98705,2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что составляет 98,8% от годового плана (план 99929,5 тыс.руб.). 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В разрезе поселений поступление налоговых и неналоговых доходов выглядит следующим образом:                                                        (тыс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уб.)</w:t>
      </w:r>
    </w:p>
    <w:tbl>
      <w:tblPr>
        <w:tblW w:w="83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0"/>
        <w:gridCol w:w="882"/>
        <w:gridCol w:w="810"/>
        <w:gridCol w:w="882"/>
        <w:gridCol w:w="815"/>
        <w:gridCol w:w="1148"/>
        <w:gridCol w:w="2044"/>
      </w:tblGrid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Наименование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Исполн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 на 01.01.20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План на 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Исполн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 на 01.01.21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% 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исполн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Темп роста к прошлому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Примечание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ГП «П. Думиничи»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17216,1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19647,2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18796,6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Увеличение по УСН, уплата недоимки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д</w:t>
            </w:r>
            <w:proofErr w:type="spellEnd"/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.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Буда»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1194,5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1712,9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Увеличение поступлений по 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зем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.н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алогу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с физ.лиц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.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Брынь»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1494,6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1673,7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1478,3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налогов по СПК «Рыбный»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СП В. 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Гульцово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617,2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689,2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Увеличение поступлений налога на имущество физ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.л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иц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СП «С. 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Вертное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352,5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налогов от ООО «Агрофирма КАДВИ»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«д. Высокое»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1242,8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Увеличение поступлений по УСН от инд. 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предпринимат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«д. Дубровка»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поступлений по УСН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«д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.Д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уминичи»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608,6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1432,7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Поступление земельного налога от юр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.л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иц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.К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оторь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Увеличение поступлений от </w:t>
            </w: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lastRenderedPageBreak/>
              <w:t>арендной платы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lastRenderedPageBreak/>
              <w:t>СП «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.Н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овослободск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1837,7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1475,4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поступлений по УСН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д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.М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аслово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Увеличение поступлений от арендной платы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.М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аклаки»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2315,4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1538,8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Недоимк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а ООО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«КЦЗ» по земельному налогу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</w:t>
            </w:r>
            <w:proofErr w:type="spell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.Ч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ернышено</w:t>
            </w:r>
            <w:proofErr w:type="spell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676,9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поступлений по земельному налогу с организаций, физических лиц, по НДФЛ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СП «с</w:t>
            </w:r>
            <w:proofErr w:type="gramStart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.Х</w:t>
            </w:r>
            <w:proofErr w:type="gramEnd"/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отьково»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272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Снижение поступлений по налогам на совокупный доход</w:t>
            </w:r>
          </w:p>
        </w:tc>
      </w:tr>
      <w:tr w:rsidR="00602B41" w:rsidRPr="00602B41" w:rsidTr="00602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28385,9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30977,1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29752,6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02B41" w:rsidRPr="00602B41" w:rsidRDefault="00602B41" w:rsidP="00602B41">
            <w:pPr>
              <w:spacing w:after="0" w:line="240" w:lineRule="auto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602B41">
              <w:rPr>
                <w:rFonts w:ascii="pt_sansbold" w:eastAsia="Times New Roman" w:hAnsi="pt_sansbold" w:cs="Times New Roman"/>
                <w:b/>
                <w:bCs/>
                <w:color w:val="333333"/>
                <w:lang w:eastAsia="ru-RU"/>
              </w:rPr>
              <w:t> </w:t>
            </w:r>
          </w:p>
        </w:tc>
      </w:tr>
    </w:tbl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          Анализ в разрезе поселений показал, что в семи поселениях района уровень собственных доходов снизился по отношению к 2019 году. Это: СП «Село Брынь», СП «Село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Вертное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», СП «Деревня Дубровка», СП «Село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Новослободск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», СП «Село Маклаки», СП «Село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Чернышено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», СП «Село Хотьково».  Наиболее высокий темп роста сложился в СП «Деревня Буда», СП «Деревня 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Высокое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», СП «Деревня Думиничи».                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                                                 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РАСХОДЫ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Расходы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консолидированного бюджета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за 2020 год составили 618901,8 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что составляет 94,6% от уточненного плана.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 Расходы бюджета муниципального района составили 562372,4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при плане 589517,9 тыс.руб., или 95,4 %.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 Расходы сельских и городского поселений составили 132051,0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при плане 142148,3 тыс.руб., или 92,9%.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                 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Расходы бюджета муниципального района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за анализируемый период в разрезе функциональной классификации сложились следующим образом: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образование – 204,0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культуру – 27,6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    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социальную политику –134,3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физическую культуру и спорт –11,9 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lastRenderedPageBreak/>
        <w:t>- средства массовой информации – 1,9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жилищно-коммунальное хозяйство – 58,5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-дорожное хозяйство –24,1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-транспорт – 2,5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межбюджетные трансферты бюджетам поселений –45,8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- общегосударственные вопросы 40,1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 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прочие расходы – 11,7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 (воинский учет; ЕДДС, ЗАГС; с/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х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;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кадастр.раб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.).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 В целом на социально-культурную сферу направлено 67,2% от общих расходов бюджета.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      Финансирование осуществлялось 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согласно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 утвержденного бюджета и поданных заявок бюджетополучателей. Просроченная задолженность по учреждениям бюджетной сферы отсутствует.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 </w:t>
      </w: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Расходы бюджетов поселений</w:t>
      </w: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за анализируемый период в разрезе функциональной классификации сложились следующим образом: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культуру – 33,4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    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социальную политику –0,8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физическую культуру и спорт –0,1 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жилищное хозяйство – 1,7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на коммунальное хозяйство –0,8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- на благоустройство – 38,3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дорожное хозяйство (ГП) – 29,6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транспорт – 1,2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- общегосударственные вопросы 22,2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 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прочие расходы – 4,0 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                       Результат исполнения консолидированного бюджета –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дефицт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 в сумме 18680,9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источник финансирования дефицита – изменение остатков денежных средств.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 Муниципальный долг по состоянию на 01.01.2021 отсутствует.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Основные задачи на 2021 год</w:t>
      </w:r>
    </w:p>
    <w:p w:rsidR="00602B41" w:rsidRPr="00602B41" w:rsidRDefault="00602B41" w:rsidP="00602B41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bold" w:eastAsia="Times New Roman" w:hAnsi="pt_sansbold" w:cs="Times New Roman"/>
          <w:b/>
          <w:bCs/>
          <w:color w:val="333333"/>
          <w:lang w:eastAsia="ru-RU"/>
        </w:rPr>
        <w:t>и на плановый период 2022 и 2023 годов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 Сохранение устойчивости бюджетной системы Думиничского района и обеспечение долгосрочной сбалансированности бюджета муниципального района «Думиничский район» и бюджетов поселений;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lastRenderedPageBreak/>
        <w:t>-  укрепление доходной базы консолидированного бюджета Думиничского района за счет наращивания стабильных доходных источников и мобилизации в бюджет имеющихся резервов;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   безусловное исполнение всех обязательств государства и реализация приоритетных направлений и национальных проектов;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 -   прямое вовлечение населения в решение приоритетных социальных проблем местного уровня;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-  повышение открытости и прозрачности управления общественными финансами.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  Для решения этих задач необходимо продолжить работу по мобилизации поступления доходов в местные бюджеты района, прежде всего это: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-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- 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налога;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- обеспечение мер по взысканию недоимки по налогам.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             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В Бюджетном кодексе Российской Федерации закреплен принцип эффективности использования бюджетных средств, обязывающий всех получателей финансовых ресурсов из бюджета любого уровня исходить из «необходимости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(результативности)».</w:t>
      </w:r>
      <w:proofErr w:type="gramEnd"/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             Одним из направлений повышения эффективности расходования бюджетных средств является 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инициативное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 xml:space="preserve"> </w:t>
      </w:r>
      <w:proofErr w:type="spell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бюджетирование</w:t>
      </w:r>
      <w:proofErr w:type="spell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 В 2020 году в 10 муниципальных образованиях района реализованы проекты развития общественной инфраструктуры муниципальных образований, основанных на местных инициативах. В рамках данных проектов отремонтирован клуб, обустроены воинские захоронения, проведены работы по благоустройству. Всего израсходовано средств в сумме 8527,6 тыс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уб., из них средства областного бюджета 6400,1 тыс.руб. (75,1%), средства поселений – 1127,5 тыс.руб., средства бюджета МР – 563,1 тыс.руб., средства населения и спонсоров – 436,9 тыс.руб.    Кроме того, население принимает трудовое участие в реализации проектов.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  Повысить эффективность использования бюджетных средств позволит также усиление финансового контроля получателей бюджетных средств со стороны органов внешнего и внутреннего контроля.</w:t>
      </w:r>
    </w:p>
    <w:p w:rsidR="00602B41" w:rsidRPr="00602B41" w:rsidRDefault="00602B41" w:rsidP="00602B41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           В целях экономии бюджетных сре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дств сл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едует более активно использовать конкурентные способы закупок товаров, работ, услуг. Так, только за 2020 год сэкономлено бюджетных средств в результате закупочных процедур 19,7 млн</w:t>
      </w:r>
      <w:proofErr w:type="gramStart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.р</w:t>
      </w:r>
      <w:proofErr w:type="gramEnd"/>
      <w:r w:rsidRPr="00602B41">
        <w:rPr>
          <w:rFonts w:ascii="pt_sansregular" w:eastAsia="Times New Roman" w:hAnsi="pt_sansregular" w:cs="Times New Roman"/>
          <w:color w:val="333333"/>
          <w:lang w:eastAsia="ru-RU"/>
        </w:rPr>
        <w:t>уб.  </w:t>
      </w:r>
    </w:p>
    <w:p w:rsidR="0059042E" w:rsidRDefault="0059042E"/>
    <w:sectPr w:rsidR="0059042E" w:rsidSect="0059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B41"/>
    <w:rsid w:val="0005498E"/>
    <w:rsid w:val="001A5AB1"/>
    <w:rsid w:val="0021364B"/>
    <w:rsid w:val="00227852"/>
    <w:rsid w:val="00236D1D"/>
    <w:rsid w:val="00240127"/>
    <w:rsid w:val="003416E5"/>
    <w:rsid w:val="0059042E"/>
    <w:rsid w:val="005F066C"/>
    <w:rsid w:val="00602B41"/>
    <w:rsid w:val="008E5F2F"/>
    <w:rsid w:val="008F6881"/>
    <w:rsid w:val="00D83938"/>
    <w:rsid w:val="00E57359"/>
    <w:rsid w:val="00E756A8"/>
    <w:rsid w:val="00F1034B"/>
    <w:rsid w:val="00F4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B41"/>
    <w:rPr>
      <w:b/>
      <w:bCs/>
    </w:rPr>
  </w:style>
  <w:style w:type="paragraph" w:customStyle="1" w:styleId="21">
    <w:name w:val="21"/>
    <w:basedOn w:val="a"/>
    <w:rsid w:val="0060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SergeyK</dc:creator>
  <cp:keywords/>
  <dc:description/>
  <cp:lastModifiedBy>SergeyK</cp:lastModifiedBy>
  <cp:revision>3</cp:revision>
  <dcterms:created xsi:type="dcterms:W3CDTF">2022-02-14T13:33:00Z</dcterms:created>
  <dcterms:modified xsi:type="dcterms:W3CDTF">2022-02-14T13:34:00Z</dcterms:modified>
</cp:coreProperties>
</file>