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4C" w:rsidRDefault="00CA474C" w:rsidP="00CA474C">
      <w:pPr>
        <w:spacing w:after="0"/>
        <w:contextualSpacing/>
        <w:jc w:val="center"/>
      </w:pPr>
      <w:r>
        <w:t>Отчет</w:t>
      </w:r>
    </w:p>
    <w:p w:rsidR="00CA474C" w:rsidRDefault="00CA474C" w:rsidP="00CA474C">
      <w:pPr>
        <w:spacing w:after="0"/>
        <w:contextualSpacing/>
        <w:jc w:val="center"/>
      </w:pPr>
    </w:p>
    <w:p w:rsidR="00CA474C" w:rsidRDefault="00CA474C" w:rsidP="00CA474C">
      <w:pPr>
        <w:spacing w:after="0"/>
        <w:contextualSpacing/>
        <w:jc w:val="center"/>
      </w:pPr>
      <w:r>
        <w:t>о проделанной работе отдела финансов администрации</w:t>
      </w:r>
    </w:p>
    <w:p w:rsidR="00CA474C" w:rsidRDefault="00CA474C" w:rsidP="00CA474C">
      <w:pPr>
        <w:spacing w:after="0"/>
        <w:contextualSpacing/>
        <w:jc w:val="center"/>
      </w:pPr>
    </w:p>
    <w:p w:rsidR="00CA474C" w:rsidRDefault="00CA474C" w:rsidP="00CA474C">
      <w:pPr>
        <w:spacing w:after="0"/>
        <w:contextualSpacing/>
        <w:jc w:val="center"/>
      </w:pPr>
      <w:r>
        <w:t>муниципального района «Думиничский район» за 2015 год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         Местный бюджет является основой финансирования системы муниципального образования.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В нем находят отражение все экономические, социально-политические и организационные решения муниципальных органов власти в области вопросов местного значения.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Основными задачами Отдела являются: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-участие в реализации основных направлений единой бюджетной и налоговой политики на территории муниципального района «Думиничский район»,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-организация исполнения бюджета муниципального района «Думиничский район»,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-обеспечение концентрации финансовых ресурсов на приоритетных направлениях социально-экономического развития муниципального района «Думиничский район»,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-экономически обоснованное прогнозирование доходов и расходов бюджета муниципального района «Думиничский район»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- обеспечение кассового обслуживания исполнения бюджетов.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ДОХОДЫ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За 2015 год в консолидированный бюджет муниципального района «Думиничский район» поступило 403397,3 тыс</w:t>
      </w:r>
      <w:proofErr w:type="gramStart"/>
      <w:r>
        <w:t>.р</w:t>
      </w:r>
      <w:proofErr w:type="gramEnd"/>
      <w:r>
        <w:t>ублей, в том числе: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налоговые и неналоговые доходы – 124243,5 тыс</w:t>
      </w:r>
      <w:proofErr w:type="gramStart"/>
      <w:r>
        <w:t>.р</w:t>
      </w:r>
      <w:proofErr w:type="gramEnd"/>
      <w:r>
        <w:t>ублей, что составляет 83,3% от уточненного годового плана (124243,5 :149184,3)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безвозмездных поступлений – 279153,8 тыс</w:t>
      </w:r>
      <w:proofErr w:type="gramStart"/>
      <w:r>
        <w:t>.р</w:t>
      </w:r>
      <w:proofErr w:type="gramEnd"/>
      <w:r>
        <w:t>ублей, что составляет 98,6% от уточненного годового плана (282979,7 – 279153,8 = - 3825,9 тыс.рублей)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По сравнению с показателями 2014 года снижение объема доходов консолидированного бюджета составило 93375,6 тыс</w:t>
      </w:r>
      <w:proofErr w:type="gramStart"/>
      <w:r>
        <w:t>.р</w:t>
      </w:r>
      <w:proofErr w:type="gramEnd"/>
      <w:r>
        <w:t>ублей  или 81,2%, в том числе :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налоговые и неналоговые доходы снижение составило 48673 тыс</w:t>
      </w:r>
      <w:proofErr w:type="gramStart"/>
      <w:r>
        <w:t>.р</w:t>
      </w:r>
      <w:proofErr w:type="gramEnd"/>
      <w:r>
        <w:t>ублей или 71,9%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(124243,5 - 172916,5-1= - 48673  т.р.)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безвозмездные поступления уменьшились на 44702,6 тыс</w:t>
      </w:r>
      <w:proofErr w:type="gramStart"/>
      <w:r>
        <w:t>.р</w:t>
      </w:r>
      <w:proofErr w:type="gramEnd"/>
      <w:r>
        <w:t>ублей или 86,2%.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(279153,8 - 323856,4= - 44702,6 тыс</w:t>
      </w:r>
      <w:proofErr w:type="gramStart"/>
      <w:r>
        <w:t>.р</w:t>
      </w:r>
      <w:proofErr w:type="gramEnd"/>
      <w:r>
        <w:t>ублей)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Анализируя итоги исполнения бюджета муниципального района «Думиничский район» за 2015 год следует отметить, что в бюджет  поступило 388531,7 тыс</w:t>
      </w:r>
      <w:proofErr w:type="gramStart"/>
      <w:r>
        <w:t>.р</w:t>
      </w:r>
      <w:proofErr w:type="gramEnd"/>
      <w:r>
        <w:t>ублей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из них</w:t>
      </w:r>
      <w:proofErr w:type="gramStart"/>
      <w:r>
        <w:t xml:space="preserve"> :</w:t>
      </w:r>
      <w:proofErr w:type="gramEnd"/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- налоговые и неналоговые доходы 103305,4 тыс</w:t>
      </w:r>
      <w:proofErr w:type="gramStart"/>
      <w:r>
        <w:t>.р</w:t>
      </w:r>
      <w:proofErr w:type="gramEnd"/>
      <w:r>
        <w:t>ублей, что составляет 82,8 % от уточненного плана  , к уровню 2014 года минус 17484 тыс.рублей.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Невыполнение доходной части бюджета муниципального района «Думиничский район»  обусловлено за счет </w:t>
      </w:r>
      <w:proofErr w:type="spellStart"/>
      <w:r>
        <w:t>недопоступления</w:t>
      </w:r>
      <w:proofErr w:type="spellEnd"/>
      <w:r>
        <w:t>: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-налога на доходы физических лиц  от основных налогоплательщиков:  Калужский цементный завод, ОАО «</w:t>
      </w:r>
      <w:proofErr w:type="spellStart"/>
      <w:r>
        <w:t>Чернышенский</w:t>
      </w:r>
      <w:proofErr w:type="spellEnd"/>
      <w:r>
        <w:t xml:space="preserve"> лесокомбинат», ЗАО «Думиничский чугунолитейный завод»   и других промышленных предприятий и составило 19404,3 тыс</w:t>
      </w:r>
      <w:proofErr w:type="gramStart"/>
      <w:r>
        <w:t>.р</w:t>
      </w:r>
      <w:proofErr w:type="gramEnd"/>
      <w:r>
        <w:t>ублей.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 - налогов на совокупный доход в сумме 1746,6 тыс</w:t>
      </w:r>
      <w:proofErr w:type="gramStart"/>
      <w:r>
        <w:t>.р</w:t>
      </w:r>
      <w:proofErr w:type="gramEnd"/>
      <w:r>
        <w:t>уб.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Исполнение бюджета муниципального района в разрезе доходных источников</w:t>
      </w:r>
      <w:proofErr w:type="gramStart"/>
      <w:r>
        <w:t xml:space="preserve"> :</w:t>
      </w:r>
      <w:proofErr w:type="gramEnd"/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                                                                                                              (тыс</w:t>
      </w:r>
      <w:proofErr w:type="gramStart"/>
      <w:r>
        <w:t>.р</w:t>
      </w:r>
      <w:proofErr w:type="gramEnd"/>
      <w:r>
        <w:t>ублей)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Наименование налогов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Уточненный план на 2015 год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Исполнено на 01.01.2016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% исполнения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Налог на прибыль организаций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160,0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94,4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59,0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НДФЛ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93370,80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73966,5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79,2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Акцизы по подакцизным товарам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5637,2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6300,0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111,8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Налоги на совокупный доход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12704,7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10958,1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86,2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Налог на имущество организаций: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1850,0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1735,2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93,8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Государственная пошлина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847,8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747,3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88,1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Доходы от использования имущества из них: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3308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3308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lastRenderedPageBreak/>
        <w:t>100,0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-аренд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лата за земельные участки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2051,2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2051,2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100,0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-доходы от сдачи в аренду имущества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1148,3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1148,3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100,0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-платежи от перечисления части прибыли муниципальных унитарных предприятий</w:t>
      </w:r>
      <w:proofErr w:type="gramStart"/>
      <w:r>
        <w:t xml:space="preserve"> ,</w:t>
      </w:r>
      <w:proofErr w:type="gramEnd"/>
      <w:r>
        <w:t>остающейся после уплаты налогов и обязательных платежей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108,5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108,5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100,0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Платежи при пользовании природными ресурсами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431,9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431,9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100,0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Доходы  от оказания платных услуг (работ) и компенсации затрат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4141,5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4141,5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100,0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Доходы от продажи материальных и нематериальных активов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lastRenderedPageBreak/>
        <w:t>1336,2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681,6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51,0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Доходы бюджетов сельских поселений и городского поселения муниципального района исполнены 90,9% (52992,1,5</w:t>
      </w:r>
      <w:proofErr w:type="gramStart"/>
      <w:r>
        <w:t xml:space="preserve"> :</w:t>
      </w:r>
      <w:proofErr w:type="gramEnd"/>
      <w:r>
        <w:t>58326,7= 90,9%)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   налоговые и неналоговые доходы при уточненном годовом плане 24455,5 тыс</w:t>
      </w:r>
      <w:proofErr w:type="gramStart"/>
      <w:r>
        <w:t>.р</w:t>
      </w:r>
      <w:proofErr w:type="gramEnd"/>
      <w:r>
        <w:t>ублей исполнены 20938,1 тыс.рублей, что составляет 85,6 %,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  безвозмездные поступления от других бюджетов поступили в объеме 32054 тыс</w:t>
      </w:r>
      <w:proofErr w:type="gramStart"/>
      <w:r>
        <w:t>.р</w:t>
      </w:r>
      <w:proofErr w:type="gramEnd"/>
      <w:r>
        <w:t xml:space="preserve">ублей, что составляет 94,6% от годового плана (32054: 33871,2=94,6%) 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Наименование налогов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Уточненный годовой план на 2015год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Исполнено на 01.01.2016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% исполнения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НДФЛ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6253,9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5634,4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90,0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Акцизы по подакцизным товарам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284,3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317,7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111,7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lastRenderedPageBreak/>
        <w:t>Налоги на совокупный доход</w:t>
      </w:r>
      <w:proofErr w:type="gramStart"/>
      <w:r>
        <w:t xml:space="preserve"> ,</w:t>
      </w:r>
      <w:proofErr w:type="gramEnd"/>
      <w:r>
        <w:t xml:space="preserve"> из них: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10425,1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7868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75,5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-</w:t>
      </w:r>
      <w:proofErr w:type="spellStart"/>
      <w:r>
        <w:t>налог</w:t>
      </w:r>
      <w:proofErr w:type="gramStart"/>
      <w:r>
        <w:t>,в</w:t>
      </w:r>
      <w:proofErr w:type="gramEnd"/>
      <w:r>
        <w:t>зим.по</w:t>
      </w:r>
      <w:proofErr w:type="spellEnd"/>
      <w:r>
        <w:t xml:space="preserve"> упр.системе налогообложения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10425,1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7868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75,5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Налоги на имущество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6704,9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6371,3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95,0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из них: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Налог на имущество физических лиц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1397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1441,8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103,2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Земельный налог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5307,9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4929,5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92,9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Доходы от использования имущества из них: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363,7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371,6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102,2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доходы, получаемые в виде </w:t>
      </w:r>
      <w:proofErr w:type="gramStart"/>
      <w:r>
        <w:t>арендной</w:t>
      </w:r>
      <w:proofErr w:type="gramEnd"/>
      <w:r>
        <w:t xml:space="preserve"> за земельные участки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246,2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246,2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100,00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доходы от сдачи в аренду имущества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117,5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125,4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106,7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Доходы от оказания платных услуг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320,3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265,9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83,0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Доходы от продажи материальных и нематериальных активов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32,7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32,7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100,0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Одним из резервов увеличения доходов для поселений являются: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-    средства самообложения граждан;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lastRenderedPageBreak/>
        <w:t xml:space="preserve"> - работа по недоимке с имущественными налогами (земельным и налогом по имуществу с физических лиц).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РАСХОДЫ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         Расходы консолидированного бюджета за 2015 год составили 545870,6 тыс</w:t>
      </w:r>
      <w:proofErr w:type="gramStart"/>
      <w:r>
        <w:t>.р</w:t>
      </w:r>
      <w:proofErr w:type="gramEnd"/>
      <w:r>
        <w:t xml:space="preserve">ублей, что составляет 92,3% от уточненного плана (545870,6 :591420,6).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Расходы бюджета муниципального района составили 518745,8 тыс</w:t>
      </w:r>
      <w:proofErr w:type="gramStart"/>
      <w:r>
        <w:t>.р</w:t>
      </w:r>
      <w:proofErr w:type="gramEnd"/>
      <w:r>
        <w:t>ублей, при плане 552984,1 тыс.руб.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>Расходы сельских и городского поселений составили 65251,4 тыс</w:t>
      </w:r>
      <w:proofErr w:type="gramStart"/>
      <w:r>
        <w:t>.р</w:t>
      </w:r>
      <w:proofErr w:type="gramEnd"/>
      <w:r>
        <w:t>ублей, при плане 78895,2 тыс.руб.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</w:t>
      </w:r>
    </w:p>
    <w:p w:rsidR="00CA474C" w:rsidRDefault="00CA474C" w:rsidP="00CA474C">
      <w:pPr>
        <w:spacing w:after="0"/>
        <w:contextualSpacing/>
      </w:pPr>
    </w:p>
    <w:p w:rsidR="00CA474C" w:rsidRDefault="00CA474C" w:rsidP="00CA474C">
      <w:pPr>
        <w:spacing w:after="0"/>
        <w:contextualSpacing/>
      </w:pPr>
      <w:r>
        <w:t xml:space="preserve">           Расходы бюджета муниципального района в разрезе функциональной классификации расходов сложились следующим образом:            (тыс</w:t>
      </w:r>
      <w:proofErr w:type="gramStart"/>
      <w:r>
        <w:t>.р</w:t>
      </w:r>
      <w:proofErr w:type="gramEnd"/>
      <w:r>
        <w:t>ублей)</w:t>
      </w:r>
    </w:p>
    <w:p w:rsidR="00CA474C" w:rsidRDefault="00CA474C" w:rsidP="00CA474C">
      <w:pPr>
        <w:spacing w:after="0"/>
        <w:contextualSpacing/>
        <w:jc w:val="right"/>
      </w:pPr>
      <w:r>
        <w:t>Н</w:t>
      </w:r>
      <w:r>
        <w:t>аименование показателя</w:t>
      </w:r>
      <w:r>
        <w:t xml:space="preserve">                                                                                                                         </w:t>
      </w:r>
      <w:r>
        <w:t>Сумма</w:t>
      </w:r>
    </w:p>
    <w:p w:rsidR="00CA474C" w:rsidRDefault="00CA474C" w:rsidP="00CA474C">
      <w:pPr>
        <w:spacing w:after="0"/>
        <w:contextualSpacing/>
      </w:pPr>
      <w:r>
        <w:t xml:space="preserve">общегосударственные расходы  </w:t>
      </w:r>
    </w:p>
    <w:p w:rsidR="00CA474C" w:rsidRDefault="00CA474C" w:rsidP="00CA474C">
      <w:pPr>
        <w:spacing w:after="0"/>
        <w:contextualSpacing/>
        <w:jc w:val="right"/>
      </w:pPr>
      <w:r>
        <w:t>33988,2</w:t>
      </w:r>
    </w:p>
    <w:p w:rsidR="00CA474C" w:rsidRDefault="00CA474C" w:rsidP="00CA474C">
      <w:pPr>
        <w:spacing w:after="0"/>
        <w:contextualSpacing/>
      </w:pPr>
      <w:r>
        <w:t xml:space="preserve">-национальная  оборона </w:t>
      </w:r>
    </w:p>
    <w:p w:rsidR="00CA474C" w:rsidRDefault="00CA474C" w:rsidP="00CA474C">
      <w:pPr>
        <w:spacing w:after="0"/>
        <w:contextualSpacing/>
        <w:jc w:val="right"/>
      </w:pPr>
      <w:r>
        <w:t>559,8</w:t>
      </w:r>
    </w:p>
    <w:p w:rsidR="00CA474C" w:rsidRDefault="00CA474C" w:rsidP="00CA474C">
      <w:pPr>
        <w:spacing w:after="0"/>
        <w:contextualSpacing/>
      </w:pPr>
      <w:r>
        <w:t>-национальная безопасность и</w:t>
      </w:r>
    </w:p>
    <w:p w:rsidR="00CA474C" w:rsidRDefault="00CA474C" w:rsidP="00CA474C">
      <w:pPr>
        <w:spacing w:after="0"/>
        <w:contextualSpacing/>
      </w:pPr>
      <w:r>
        <w:t xml:space="preserve"> правоохранительная деятельность </w:t>
      </w:r>
    </w:p>
    <w:p w:rsidR="00CA474C" w:rsidRDefault="00CA474C" w:rsidP="00CA474C">
      <w:pPr>
        <w:spacing w:after="0"/>
        <w:contextualSpacing/>
        <w:jc w:val="right"/>
      </w:pPr>
      <w:r>
        <w:t>2314,3</w:t>
      </w:r>
    </w:p>
    <w:p w:rsidR="00CA474C" w:rsidRDefault="00CA474C" w:rsidP="00CA474C">
      <w:pPr>
        <w:spacing w:after="0"/>
        <w:contextualSpacing/>
      </w:pPr>
      <w:r>
        <w:t xml:space="preserve">-национальная экономика </w:t>
      </w:r>
    </w:p>
    <w:p w:rsidR="00CA474C" w:rsidRDefault="00CA474C" w:rsidP="00CA474C">
      <w:pPr>
        <w:spacing w:after="0"/>
        <w:contextualSpacing/>
        <w:jc w:val="right"/>
      </w:pPr>
      <w:r>
        <w:t>10300</w:t>
      </w:r>
    </w:p>
    <w:p w:rsidR="00CA474C" w:rsidRDefault="00CA474C" w:rsidP="00CA474C">
      <w:pPr>
        <w:spacing w:after="0"/>
        <w:contextualSpacing/>
      </w:pPr>
      <w:r>
        <w:t xml:space="preserve">-жилищно-коммунальное хозяйство  </w:t>
      </w:r>
    </w:p>
    <w:p w:rsidR="00CA474C" w:rsidRDefault="00CA474C" w:rsidP="00CA474C">
      <w:pPr>
        <w:spacing w:after="0"/>
        <w:contextualSpacing/>
        <w:jc w:val="right"/>
      </w:pPr>
      <w:r>
        <w:t>52801,3</w:t>
      </w:r>
    </w:p>
    <w:p w:rsidR="00CA474C" w:rsidRDefault="00CA474C" w:rsidP="00CA474C">
      <w:pPr>
        <w:spacing w:after="0"/>
        <w:contextualSpacing/>
      </w:pPr>
      <w:r>
        <w:t>-образование</w:t>
      </w:r>
    </w:p>
    <w:p w:rsidR="00CA474C" w:rsidRDefault="00CA474C" w:rsidP="00CA474C">
      <w:pPr>
        <w:spacing w:after="0"/>
        <w:contextualSpacing/>
        <w:jc w:val="right"/>
      </w:pPr>
      <w:r>
        <w:t>178560,3</w:t>
      </w:r>
    </w:p>
    <w:p w:rsidR="00CA474C" w:rsidRDefault="00CA474C" w:rsidP="00CA474C">
      <w:pPr>
        <w:spacing w:after="0"/>
        <w:contextualSpacing/>
      </w:pPr>
      <w:r>
        <w:t xml:space="preserve">-культура, кинематография   </w:t>
      </w:r>
    </w:p>
    <w:p w:rsidR="00CA474C" w:rsidRDefault="00CA474C" w:rsidP="00CA474C">
      <w:pPr>
        <w:spacing w:after="0"/>
        <w:contextualSpacing/>
        <w:jc w:val="right"/>
      </w:pPr>
      <w:r>
        <w:t>14821,6</w:t>
      </w:r>
    </w:p>
    <w:p w:rsidR="00CA474C" w:rsidRDefault="00CA474C" w:rsidP="00CA474C">
      <w:pPr>
        <w:spacing w:after="0"/>
        <w:contextualSpacing/>
      </w:pPr>
      <w:r>
        <w:t xml:space="preserve">-социальная политика  </w:t>
      </w:r>
    </w:p>
    <w:p w:rsidR="00CA474C" w:rsidRDefault="00CA474C" w:rsidP="00CA474C">
      <w:pPr>
        <w:spacing w:after="0"/>
        <w:contextualSpacing/>
        <w:jc w:val="right"/>
      </w:pPr>
      <w:r>
        <w:t>105228,4</w:t>
      </w:r>
    </w:p>
    <w:p w:rsidR="00CA474C" w:rsidRDefault="00CA474C" w:rsidP="00CA474C">
      <w:pPr>
        <w:spacing w:after="0"/>
        <w:contextualSpacing/>
      </w:pPr>
      <w:r>
        <w:t>-физическая культура и спорт</w:t>
      </w:r>
    </w:p>
    <w:p w:rsidR="00CA474C" w:rsidRDefault="00CA474C" w:rsidP="00CA474C">
      <w:pPr>
        <w:spacing w:after="0"/>
        <w:contextualSpacing/>
        <w:jc w:val="right"/>
      </w:pPr>
      <w:r>
        <w:t>1559</w:t>
      </w:r>
    </w:p>
    <w:p w:rsidR="00CA474C" w:rsidRDefault="00CA474C" w:rsidP="00CA474C">
      <w:pPr>
        <w:spacing w:after="0"/>
        <w:contextualSpacing/>
      </w:pPr>
      <w:r>
        <w:t xml:space="preserve">-средства массовой информации  </w:t>
      </w:r>
    </w:p>
    <w:p w:rsidR="00CA474C" w:rsidRDefault="00CA474C" w:rsidP="00CA474C">
      <w:pPr>
        <w:spacing w:after="0"/>
        <w:contextualSpacing/>
        <w:jc w:val="right"/>
      </w:pPr>
      <w:r>
        <w:t>1000,0</w:t>
      </w:r>
    </w:p>
    <w:p w:rsidR="00CA474C" w:rsidRDefault="00CA474C" w:rsidP="00CA474C">
      <w:pPr>
        <w:spacing w:after="0"/>
        <w:contextualSpacing/>
      </w:pPr>
      <w:r>
        <w:t>- обслуживание муниципального долга</w:t>
      </w:r>
    </w:p>
    <w:p w:rsidR="00CA474C" w:rsidRDefault="00CA474C" w:rsidP="00CA474C">
      <w:pPr>
        <w:spacing w:after="0"/>
        <w:contextualSpacing/>
        <w:jc w:val="right"/>
      </w:pPr>
      <w:r>
        <w:t>5,8</w:t>
      </w:r>
    </w:p>
    <w:p w:rsidR="00CA474C" w:rsidRDefault="00CA474C" w:rsidP="00CA474C">
      <w:pPr>
        <w:spacing w:after="0"/>
        <w:contextualSpacing/>
      </w:pPr>
      <w:r>
        <w:t>-межбюджетные трансферты общего характера муниципальных образований</w:t>
      </w:r>
    </w:p>
    <w:p w:rsidR="00CA474C" w:rsidRDefault="00CA474C" w:rsidP="00CA474C">
      <w:pPr>
        <w:spacing w:after="0"/>
        <w:contextualSpacing/>
        <w:jc w:val="right"/>
      </w:pPr>
      <w:r>
        <w:t>117607,1</w:t>
      </w:r>
    </w:p>
    <w:p w:rsidR="00CA474C" w:rsidRDefault="00CA474C" w:rsidP="00CA474C">
      <w:pPr>
        <w:spacing w:after="0"/>
        <w:contextualSpacing/>
      </w:pPr>
      <w:r>
        <w:lastRenderedPageBreak/>
        <w:t xml:space="preserve">            В 2015 году муниципальный район «Думиничский район» принял участие в У111 Всероссийском конкурсе «Лучшее муниципальное образование России в сфере управления общественными финансами».  В номинации за открытость и прозрачность управления финансами Думиничский район награжден ДИПЛОМОМ.</w:t>
      </w:r>
    </w:p>
    <w:p w:rsidR="00CA474C" w:rsidRDefault="00CA474C" w:rsidP="00CA474C">
      <w:pPr>
        <w:spacing w:after="0"/>
        <w:contextualSpacing/>
      </w:pPr>
      <w:r>
        <w:t xml:space="preserve">           В соответствии с приказом министерства финансов Калужской области от 27.03.2014 № 55 «Об утверждении Порядка проведения мониторинга и оценки качества управления бюджетным процессом в муниципальных образованиях Калужской области» проведены мониторинг и оценка качества управления бюджетным процессом в муниципальных образованиях Калужской области.</w:t>
      </w:r>
    </w:p>
    <w:p w:rsidR="00CA474C" w:rsidRDefault="00CA474C" w:rsidP="00CA474C">
      <w:pPr>
        <w:spacing w:after="0"/>
        <w:contextualSpacing/>
      </w:pPr>
      <w:r>
        <w:t>Среди муниципальных районов и городских округов наивысшую оценку в 102 балла получил муниципальный район «Думиничский район»</w:t>
      </w:r>
    </w:p>
    <w:p w:rsidR="00CA474C" w:rsidRDefault="00CA474C" w:rsidP="00CA474C">
      <w:pPr>
        <w:spacing w:after="0"/>
        <w:contextualSpacing/>
      </w:pPr>
      <w:r>
        <w:t xml:space="preserve">           Основная цель работы отдела финансов администрации – обеспечение сбалансированности, эффективности расходования бюджетных средств и устойчивости бюджетов.</w:t>
      </w:r>
    </w:p>
    <w:p w:rsidR="00CA474C" w:rsidRDefault="00CA474C" w:rsidP="00CA474C">
      <w:pPr>
        <w:spacing w:after="0"/>
        <w:contextualSpacing/>
      </w:pPr>
      <w:r>
        <w:t xml:space="preserve">          Для достижения этой цели необходимо продолжить работу по мобилизации поступления доходов в местные бюджеты района, </w:t>
      </w:r>
      <w:proofErr w:type="gramStart"/>
      <w:r>
        <w:t>согласно</w:t>
      </w:r>
      <w:proofErr w:type="gramEnd"/>
      <w:r>
        <w:t xml:space="preserve"> разработанного плана, где отражены основные мероприятия по увеличению доходной части бюджета, прежде всего это –</w:t>
      </w:r>
    </w:p>
    <w:p w:rsidR="00CA474C" w:rsidRDefault="00CA474C" w:rsidP="00CA474C">
      <w:pPr>
        <w:spacing w:after="0"/>
        <w:contextualSpacing/>
      </w:pPr>
      <w:r>
        <w:t>- выявление собственников земельных участков и другого недвижимого имущества и привлечения их к налогообложению, содействие в оформлении прав собственности на земельные участки и имущество физическими лицами;</w:t>
      </w:r>
    </w:p>
    <w:p w:rsidR="00CA474C" w:rsidRDefault="00CA474C" w:rsidP="00CA474C">
      <w:pPr>
        <w:spacing w:after="0"/>
        <w:contextualSpacing/>
      </w:pPr>
      <w:r>
        <w:t>- выявление используемых не по целевому назначению (неиспользуемых) земель сельскохозяйственного назначения для применения к ним повышенной ставки налога;</w:t>
      </w:r>
    </w:p>
    <w:p w:rsidR="00CA474C" w:rsidRDefault="00CA474C" w:rsidP="00CA474C">
      <w:pPr>
        <w:spacing w:after="0"/>
        <w:contextualSpacing/>
      </w:pPr>
      <w:r>
        <w:t>- обеспечение мер по взысканию недоимки по местным налогам с налогоплательщиков</w:t>
      </w:r>
    </w:p>
    <w:p w:rsidR="00CA474C" w:rsidRDefault="00CA474C" w:rsidP="00CA474C">
      <w:pPr>
        <w:spacing w:after="0"/>
        <w:contextualSpacing/>
      </w:pPr>
      <w:r>
        <w:t xml:space="preserve"> по которым размер недоимки составляет менее 3,0 тыс</w:t>
      </w:r>
      <w:proofErr w:type="gramStart"/>
      <w:r>
        <w:t>.р</w:t>
      </w:r>
      <w:proofErr w:type="gramEnd"/>
      <w:r>
        <w:t>ублей;</w:t>
      </w:r>
    </w:p>
    <w:p w:rsidR="00CA474C" w:rsidRDefault="00CA474C" w:rsidP="00CA474C">
      <w:pPr>
        <w:spacing w:after="0"/>
        <w:contextualSpacing/>
      </w:pPr>
      <w:r>
        <w:t>- провести инвентаризацию имущества, находящегося в муниципальной собственности, то есть систематизацию сведений о его наличии и использовании.</w:t>
      </w:r>
    </w:p>
    <w:p w:rsidR="00CA474C" w:rsidRDefault="00CA474C" w:rsidP="00CA474C">
      <w:pPr>
        <w:spacing w:after="0"/>
        <w:contextualSpacing/>
      </w:pPr>
      <w:r>
        <w:t xml:space="preserve">          Следует также повышать эффективность расходования бюджетных средств, усилить </w:t>
      </w:r>
      <w:proofErr w:type="gramStart"/>
      <w:r>
        <w:t>контроль за</w:t>
      </w:r>
      <w:proofErr w:type="gramEnd"/>
      <w:r>
        <w:t xml:space="preserve"> использованием бюджетных средств.</w:t>
      </w:r>
    </w:p>
    <w:p w:rsidR="00CA474C" w:rsidRDefault="00CA474C" w:rsidP="00CA474C">
      <w:pPr>
        <w:spacing w:after="0"/>
        <w:contextualSpacing/>
      </w:pPr>
      <w:r>
        <w:t xml:space="preserve">          Добиться этого </w:t>
      </w:r>
      <w:proofErr w:type="gramStart"/>
      <w:r>
        <w:t>можно</w:t>
      </w:r>
      <w:proofErr w:type="gramEnd"/>
      <w:r>
        <w:t xml:space="preserve"> в том числе и за счет использования программно-целевого метода бюджетного планирования. Расходная часть местного бюджета за 2015 сформирована в рамках муниципальных программ и составляет 99,4% от общего объема расходов.</w:t>
      </w:r>
    </w:p>
    <w:p w:rsidR="00CA474C" w:rsidRDefault="00CA474C" w:rsidP="00CA474C">
      <w:pPr>
        <w:spacing w:after="0"/>
        <w:contextualSpacing/>
      </w:pPr>
    </w:p>
    <w:p w:rsidR="003C6295" w:rsidRDefault="00CA474C" w:rsidP="00CA474C">
      <w:pPr>
        <w:spacing w:after="0"/>
        <w:contextualSpacing/>
      </w:pPr>
      <w:r>
        <w:t xml:space="preserve"> Заведующий отделом финансов                                                       </w:t>
      </w:r>
      <w:proofErr w:type="spellStart"/>
      <w:r>
        <w:t>Н.А.Гурцева</w:t>
      </w:r>
      <w:proofErr w:type="spellEnd"/>
    </w:p>
    <w:sectPr w:rsidR="003C6295" w:rsidSect="003C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A474C"/>
    <w:rsid w:val="003C6295"/>
    <w:rsid w:val="00A9422A"/>
    <w:rsid w:val="00CA4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1269</Words>
  <Characters>7235</Characters>
  <Application>Microsoft Office Word</Application>
  <DocSecurity>0</DocSecurity>
  <Lines>60</Lines>
  <Paragraphs>16</Paragraphs>
  <ScaleCrop>false</ScaleCrop>
  <Company/>
  <LinksUpToDate>false</LinksUpToDate>
  <CharactersWithSpaces>8488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2017-02-01T12:48:00Z</dcterms:created>
  <dcterms:modified xsi:type="dcterms:W3CDTF">2017-02-01T12:52:00Z</dcterms:modified>
</cp:coreProperties>
</file>