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3BD" w:rsidRDefault="00AE13BD" w:rsidP="00AE13BD">
      <w:pPr>
        <w:pStyle w:val="consplusnormal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_sansregular" w:hAnsi="pt_sansregular"/>
          <w:color w:val="333333"/>
          <w:sz w:val="27"/>
          <w:szCs w:val="27"/>
        </w:rPr>
      </w:pPr>
      <w:r>
        <w:rPr>
          <w:rStyle w:val="a5"/>
          <w:rFonts w:ascii="inherit" w:hAnsi="inherit"/>
          <w:b/>
          <w:bCs/>
          <w:color w:val="333333"/>
          <w:sz w:val="27"/>
          <w:szCs w:val="27"/>
          <w:bdr w:val="none" w:sz="0" w:space="0" w:color="auto" w:frame="1"/>
        </w:rPr>
        <w:t>Отчет</w:t>
      </w:r>
    </w:p>
    <w:p w:rsidR="00AE13BD" w:rsidRDefault="00AE13BD" w:rsidP="00AE13BD">
      <w:pPr>
        <w:pStyle w:val="consplusnormal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_sansregular" w:hAnsi="pt_sansregular"/>
          <w:color w:val="333333"/>
          <w:sz w:val="27"/>
          <w:szCs w:val="27"/>
        </w:rPr>
      </w:pPr>
      <w:r>
        <w:rPr>
          <w:rStyle w:val="a5"/>
          <w:rFonts w:ascii="inherit" w:hAnsi="inherit"/>
          <w:b/>
          <w:bCs/>
          <w:color w:val="333333"/>
          <w:sz w:val="27"/>
          <w:szCs w:val="27"/>
          <w:bdr w:val="none" w:sz="0" w:space="0" w:color="auto" w:frame="1"/>
        </w:rPr>
        <w:t> о проделанной работе отдела финансов администрации</w:t>
      </w:r>
    </w:p>
    <w:p w:rsidR="00AE13BD" w:rsidRDefault="00AE13BD" w:rsidP="00AE13BD">
      <w:pPr>
        <w:pStyle w:val="consplusnormal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_sansregular" w:hAnsi="pt_sansregular"/>
          <w:color w:val="333333"/>
          <w:sz w:val="27"/>
          <w:szCs w:val="27"/>
        </w:rPr>
      </w:pPr>
      <w:r>
        <w:rPr>
          <w:rStyle w:val="a5"/>
          <w:rFonts w:ascii="inherit" w:hAnsi="inherit"/>
          <w:b/>
          <w:bCs/>
          <w:color w:val="333333"/>
          <w:sz w:val="27"/>
          <w:szCs w:val="27"/>
          <w:bdr w:val="none" w:sz="0" w:space="0" w:color="auto" w:frame="1"/>
        </w:rPr>
        <w:t>муниципального района «Думиничский район» за 2016 год</w:t>
      </w:r>
    </w:p>
    <w:p w:rsid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Местный бюджет является основой финансирования системы муниципального образования.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В нем находят отражение все экономические, социально-политические и организационные решения муниципальных органов власти в области вопросов местного значения.</w:t>
      </w:r>
    </w:p>
    <w:p w:rsidR="00AE13BD" w:rsidRPr="00AE13BD" w:rsidRDefault="00AE13BD" w:rsidP="00AE13BD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inherit" w:eastAsia="Times New Roman" w:hAnsi="inherit" w:cs="Times New Roman"/>
          <w:color w:val="333333"/>
          <w:sz w:val="16"/>
          <w:szCs w:val="16"/>
          <w:u w:val="single"/>
          <w:bdr w:val="none" w:sz="0" w:space="0" w:color="auto" w:frame="1"/>
          <w:lang w:eastAsia="ru-RU"/>
        </w:rPr>
        <w:t>Основными задачами Отдела являются: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-участие в реализации основных направлений единой бюджетной и налоговой политики на территории муниципального района «Думиничский район»;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-организация исполнения бюджета муниципального района «Думиничский район» и в соответствии с переданными полномочиями исполнение бюджетов поселений района;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-обеспечение концентрации финансовых ресурсов на приоритетных направлениях социально-экономического развития муниципального района «Думиничский район»;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-экономически обоснованное прогнозирование доходов и расходов бюджета муниципального района «Думиничский район»;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- обеспечение кассового обслуживания исполнения бюджетов;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- внутренний финансовый контроль.</w:t>
      </w:r>
    </w:p>
    <w:p w:rsidR="00AE13BD" w:rsidRPr="00AE13BD" w:rsidRDefault="00AE13BD" w:rsidP="00AE13BD">
      <w:pPr>
        <w:shd w:val="clear" w:color="auto" w:fill="FFFFFF"/>
        <w:spacing w:line="240" w:lineRule="auto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</w:t>
      </w:r>
    </w:p>
    <w:p w:rsidR="00AE13BD" w:rsidRPr="00AE13BD" w:rsidRDefault="00AE13BD" w:rsidP="00AE13BD">
      <w:pPr>
        <w:shd w:val="clear" w:color="auto" w:fill="FFFFFF"/>
        <w:spacing w:after="0" w:line="240" w:lineRule="auto"/>
        <w:jc w:val="center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inherit" w:eastAsia="Times New Roman" w:hAnsi="inherit" w:cs="Times New Roman"/>
          <w:b/>
          <w:bCs/>
          <w:color w:val="333333"/>
          <w:sz w:val="16"/>
          <w:u w:val="single"/>
          <w:lang w:eastAsia="ru-RU"/>
        </w:rPr>
        <w:t>ДОХОДЫ</w:t>
      </w:r>
    </w:p>
    <w:p w:rsidR="00AE13BD" w:rsidRPr="00AE13BD" w:rsidRDefault="00AE13BD" w:rsidP="00AE13BD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За 2016 год в </w:t>
      </w:r>
      <w:r w:rsidRPr="00AE13BD">
        <w:rPr>
          <w:rFonts w:ascii="inherit" w:eastAsia="Times New Roman" w:hAnsi="inherit" w:cs="Times New Roman"/>
          <w:color w:val="333333"/>
          <w:sz w:val="16"/>
          <w:szCs w:val="16"/>
          <w:u w:val="single"/>
          <w:bdr w:val="none" w:sz="0" w:space="0" w:color="auto" w:frame="1"/>
          <w:lang w:eastAsia="ru-RU"/>
        </w:rPr>
        <w:t>консолидированный</w:t>
      </w: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бюджет района поступило 417679,1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уб., что на 14281,8 тыс.рублей больше, чем в 2015 году.</w:t>
      </w:r>
    </w:p>
    <w:p w:rsidR="00AE13BD" w:rsidRPr="00AE13BD" w:rsidRDefault="00AE13BD" w:rsidP="00AE13BD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inherit" w:eastAsia="Times New Roman" w:hAnsi="inherit" w:cs="Times New Roman"/>
          <w:b/>
          <w:bCs/>
          <w:color w:val="333333"/>
          <w:sz w:val="16"/>
          <w:u w:val="single"/>
          <w:lang w:eastAsia="ru-RU"/>
        </w:rPr>
        <w:t>Налоговых и неналоговых доходов поступило</w:t>
      </w: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– 127809,6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ублей, что составляет 90,5% от уточненного годового плана (127809,6 :141296,6), при этом темп роста по сравнению с 2015 годом составил 102,9%,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безвозмездных поступлений получено – 289869,5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ублей, что составляет 97,8% от уточненного годового плана.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</w:t>
      </w:r>
    </w:p>
    <w:p w:rsidR="00AE13BD" w:rsidRPr="00AE13BD" w:rsidRDefault="00AE13BD" w:rsidP="00AE13BD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Анализируя итоги исполнения </w:t>
      </w:r>
      <w:r w:rsidRPr="00AE13BD">
        <w:rPr>
          <w:rFonts w:ascii="inherit" w:eastAsia="Times New Roman" w:hAnsi="inherit" w:cs="Times New Roman"/>
          <w:b/>
          <w:bCs/>
          <w:color w:val="333333"/>
          <w:sz w:val="16"/>
          <w:u w:val="single"/>
          <w:lang w:eastAsia="ru-RU"/>
        </w:rPr>
        <w:t>бюджета муниципального района «Думиничский район» за 2016 год</w:t>
      </w: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следует отметить, что в бюджет поступило 395017,1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ублей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из них:</w:t>
      </w:r>
    </w:p>
    <w:p w:rsidR="00AE13BD" w:rsidRPr="00AE13BD" w:rsidRDefault="00AE13BD" w:rsidP="00AE13BD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- налоговые и неналоговые доходы 105840,8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ублей, что составляет 89,9 % от уточненного плана, </w:t>
      </w:r>
      <w:r w:rsidRPr="00AE13BD">
        <w:rPr>
          <w:rFonts w:ascii="pt_sansbold" w:eastAsia="Times New Roman" w:hAnsi="pt_sansbold" w:cs="Times New Roman"/>
          <w:b/>
          <w:bCs/>
          <w:color w:val="333333"/>
          <w:sz w:val="16"/>
          <w:lang w:eastAsia="ru-RU"/>
        </w:rPr>
        <w:t>к уровню 2015 года плюс 2535 тыс.рублей.</w:t>
      </w:r>
    </w:p>
    <w:p w:rsidR="00AE13BD" w:rsidRPr="00AE13BD" w:rsidRDefault="00AE13BD" w:rsidP="00AE13BD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bold" w:eastAsia="Times New Roman" w:hAnsi="pt_sansbold" w:cs="Times New Roman"/>
          <w:b/>
          <w:bCs/>
          <w:color w:val="333333"/>
          <w:sz w:val="16"/>
          <w:lang w:eastAsia="ru-RU"/>
        </w:rPr>
        <w:t xml:space="preserve">Невыполнение доходной части бюджета муниципального района «Думиничский район» обусловлено за счет </w:t>
      </w:r>
      <w:proofErr w:type="spellStart"/>
      <w:r w:rsidRPr="00AE13BD">
        <w:rPr>
          <w:rFonts w:ascii="pt_sansbold" w:eastAsia="Times New Roman" w:hAnsi="pt_sansbold" w:cs="Times New Roman"/>
          <w:b/>
          <w:bCs/>
          <w:color w:val="333333"/>
          <w:sz w:val="16"/>
          <w:lang w:eastAsia="ru-RU"/>
        </w:rPr>
        <w:t>недопоступления</w:t>
      </w:r>
      <w:proofErr w:type="spellEnd"/>
      <w:r w:rsidRPr="00AE13BD">
        <w:rPr>
          <w:rFonts w:ascii="pt_sansbold" w:eastAsia="Times New Roman" w:hAnsi="pt_sansbold" w:cs="Times New Roman"/>
          <w:b/>
          <w:bCs/>
          <w:color w:val="333333"/>
          <w:sz w:val="16"/>
          <w:lang w:eastAsia="ru-RU"/>
        </w:rPr>
        <w:t>:</w:t>
      </w:r>
    </w:p>
    <w:p w:rsidR="00AE13BD" w:rsidRPr="00AE13BD" w:rsidRDefault="00AE13BD" w:rsidP="00AE13BD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inherit" w:eastAsia="Times New Roman" w:hAnsi="inherit" w:cs="Times New Roman"/>
          <w:b/>
          <w:bCs/>
          <w:color w:val="333333"/>
          <w:sz w:val="16"/>
          <w:u w:val="single"/>
          <w:lang w:eastAsia="ru-RU"/>
        </w:rPr>
        <w:t>-налога на доходы физических лиц</w:t>
      </w:r>
      <w:r w:rsidRPr="00AE13BD">
        <w:rPr>
          <w:rFonts w:ascii="pt_sansbold" w:eastAsia="Times New Roman" w:hAnsi="pt_sansbold" w:cs="Times New Roman"/>
          <w:b/>
          <w:bCs/>
          <w:color w:val="333333"/>
          <w:sz w:val="16"/>
          <w:lang w:eastAsia="ru-RU"/>
        </w:rPr>
        <w:t> в сумме 10869 тыс.руб. </w:t>
      </w: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 xml:space="preserve">По данным ФНС недоимка по данному налогу на 01.12.2016 составляла 11026 тыс.руб., из них от налогоплательщиков, находящихся на территории </w:t>
      </w:r>
      <w:proofErr w:type="spell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.Ч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ернышено</w:t>
      </w:r>
      <w:proofErr w:type="spell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 xml:space="preserve"> 6,3 млн.руб., на территории поселка Думиничи 4,5 млн.руб.</w:t>
      </w:r>
    </w:p>
    <w:p w:rsidR="00AE13BD" w:rsidRPr="00AE13BD" w:rsidRDefault="00AE13BD" w:rsidP="00AE13BD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 </w:t>
      </w:r>
      <w:r w:rsidRPr="00AE13BD">
        <w:rPr>
          <w:rFonts w:ascii="inherit" w:eastAsia="Times New Roman" w:hAnsi="inherit" w:cs="Times New Roman"/>
          <w:b/>
          <w:bCs/>
          <w:color w:val="333333"/>
          <w:sz w:val="16"/>
          <w:u w:val="single"/>
          <w:lang w:eastAsia="ru-RU"/>
        </w:rPr>
        <w:t>- налогов на совокупный доход в сумме 1355,1 тыс</w:t>
      </w:r>
      <w:proofErr w:type="gramStart"/>
      <w:r w:rsidRPr="00AE13BD">
        <w:rPr>
          <w:rFonts w:ascii="inherit" w:eastAsia="Times New Roman" w:hAnsi="inherit" w:cs="Times New Roman"/>
          <w:b/>
          <w:bCs/>
          <w:color w:val="333333"/>
          <w:sz w:val="16"/>
          <w:u w:val="single"/>
          <w:lang w:eastAsia="ru-RU"/>
        </w:rPr>
        <w:t>.р</w:t>
      </w:r>
      <w:proofErr w:type="gramEnd"/>
      <w:r w:rsidRPr="00AE13BD">
        <w:rPr>
          <w:rFonts w:ascii="inherit" w:eastAsia="Times New Roman" w:hAnsi="inherit" w:cs="Times New Roman"/>
          <w:b/>
          <w:bCs/>
          <w:color w:val="333333"/>
          <w:sz w:val="16"/>
          <w:u w:val="single"/>
          <w:lang w:eastAsia="ru-RU"/>
        </w:rPr>
        <w:t>уб.  </w:t>
      </w: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 xml:space="preserve">Недоимка по данным ФНС на 01.12.2016 составляла 5632,3 тыс.руб., из них по предприятиям села </w:t>
      </w:r>
      <w:proofErr w:type="spell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Чернышено</w:t>
      </w:r>
      <w:proofErr w:type="spell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 xml:space="preserve"> 4,6 млн.руб. (в декабре 2016 года платежей от группы </w:t>
      </w:r>
      <w:proofErr w:type="spell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Чернышенских</w:t>
      </w:r>
      <w:proofErr w:type="spell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 xml:space="preserve"> предприятий не поступало).</w:t>
      </w:r>
    </w:p>
    <w:p w:rsidR="00AE13BD" w:rsidRPr="00AE13BD" w:rsidRDefault="00AE13BD" w:rsidP="00AE13BD">
      <w:pPr>
        <w:shd w:val="clear" w:color="auto" w:fill="FFFFFF"/>
        <w:spacing w:line="240" w:lineRule="auto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</w:t>
      </w:r>
    </w:p>
    <w:p w:rsidR="00AE13BD" w:rsidRPr="00AE13BD" w:rsidRDefault="00AE13BD" w:rsidP="00AE13BD">
      <w:pPr>
        <w:shd w:val="clear" w:color="auto" w:fill="FFFFFF"/>
        <w:spacing w:line="240" w:lineRule="auto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Исполнение бюджета муниципального района в разрезе налоговых и неналоговых доходных источников:</w:t>
      </w:r>
    </w:p>
    <w:p w:rsidR="00AE13BD" w:rsidRPr="00AE13BD" w:rsidRDefault="00AE13BD" w:rsidP="00AE13BD">
      <w:pPr>
        <w:shd w:val="clear" w:color="auto" w:fill="FFFFFF"/>
        <w:spacing w:line="240" w:lineRule="auto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                                                                                                              (тыс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ублей)</w:t>
      </w:r>
    </w:p>
    <w:tbl>
      <w:tblPr>
        <w:tblW w:w="56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06"/>
        <w:gridCol w:w="1404"/>
        <w:gridCol w:w="1359"/>
        <w:gridCol w:w="1381"/>
      </w:tblGrid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Наименование налогов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Уточненный план на 2016 год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Исполнено за 2016 год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% исполнения</w:t>
            </w:r>
          </w:p>
        </w:tc>
      </w:tr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Налог на прибыль организаций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100,0</w:t>
            </w:r>
          </w:p>
        </w:tc>
      </w:tr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НДФЛ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87717,3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76848,8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87,6</w:t>
            </w:r>
          </w:p>
        </w:tc>
      </w:tr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Акцизы по подакцизным товарам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7281,6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7599</w:t>
            </w:r>
          </w:p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104,4</w:t>
            </w:r>
          </w:p>
        </w:tc>
      </w:tr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Налоги на совокупный доход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9945,7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8590,6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86,4</w:t>
            </w:r>
          </w:p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 </w:t>
            </w:r>
          </w:p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 </w:t>
            </w:r>
          </w:p>
        </w:tc>
      </w:tr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Налог на имущество организаций</w:t>
            </w: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1622,3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1622,3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100,0</w:t>
            </w:r>
          </w:p>
        </w:tc>
      </w:tr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lastRenderedPageBreak/>
              <w:t>Государственная пошлина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725,5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725,5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100,0</w:t>
            </w:r>
          </w:p>
        </w:tc>
      </w:tr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Доходы от использования имущества</w:t>
            </w: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 из них: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3592,4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3592,4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100,0</w:t>
            </w:r>
          </w:p>
        </w:tc>
      </w:tr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-аренд</w:t>
            </w:r>
            <w:proofErr w:type="gramStart"/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.</w:t>
            </w:r>
            <w:proofErr w:type="gramEnd"/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п</w:t>
            </w:r>
            <w:proofErr w:type="gramEnd"/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лата за земельные участки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2387,9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2387,9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100,0</w:t>
            </w:r>
          </w:p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 </w:t>
            </w:r>
          </w:p>
        </w:tc>
      </w:tr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-доходы от сдачи в аренду имущества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1035,7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1035,7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100,0</w:t>
            </w:r>
          </w:p>
        </w:tc>
      </w:tr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-платежи от перечисления части прибыли муниципальных унитарных предприятий</w:t>
            </w:r>
            <w:proofErr w:type="gramStart"/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остающейся после уплаты налогов и обязательных платежей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168,8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168,8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100,0</w:t>
            </w:r>
          </w:p>
        </w:tc>
      </w:tr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499,4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499,4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100,0</w:t>
            </w:r>
          </w:p>
        </w:tc>
      </w:tr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Доходы  от оказания платных услуг (работ) и компенсации затрат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4399,7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4399,7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100,0</w:t>
            </w:r>
          </w:p>
        </w:tc>
      </w:tr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1538,7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1538,7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100,0</w:t>
            </w:r>
          </w:p>
        </w:tc>
      </w:tr>
      <w:tr w:rsidR="00AE13BD" w:rsidRPr="00AE13BD" w:rsidTr="00AE13BD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Штрафы, санкции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421,6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421,6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100,0</w:t>
            </w:r>
          </w:p>
        </w:tc>
      </w:tr>
    </w:tbl>
    <w:p w:rsidR="00AE13BD" w:rsidRPr="00AE13BD" w:rsidRDefault="00AE13BD" w:rsidP="00AE13BD">
      <w:pPr>
        <w:shd w:val="clear" w:color="auto" w:fill="FFFFFF"/>
        <w:spacing w:line="240" w:lineRule="auto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Доходы бюджетов поселений района исполнены 95,5% (50434,8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 xml:space="preserve"> :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52813,3= 95,5%)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   налоговые и неналоговые доходы при уточненном годовом плане 23549,6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ублей исполнены в сумме 21968,8 тыс.рублей, что составляет 93,3 %, к 2015 году плюс 1030,7 тыс.руб.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  безвозмездные поступления от других бюджетов поступили в объеме 28466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ублей, что составляет 97,3% от годового плана (28466: 29263,7=97,3%)  </w:t>
      </w:r>
    </w:p>
    <w:p w:rsidR="00AE13BD" w:rsidRPr="00AE13BD" w:rsidRDefault="00AE13BD" w:rsidP="00AE13BD">
      <w:pPr>
        <w:shd w:val="clear" w:color="auto" w:fill="FFFFFF"/>
        <w:spacing w:line="240" w:lineRule="auto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60"/>
        <w:gridCol w:w="1760"/>
        <w:gridCol w:w="1760"/>
        <w:gridCol w:w="1760"/>
      </w:tblGrid>
      <w:tr w:rsidR="00AE13BD" w:rsidRPr="00AE13BD" w:rsidTr="00AE13BD"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Наименование налогов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Уточненный годовой план на 2016 год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Исполнено за 2016 год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% исполнения</w:t>
            </w:r>
          </w:p>
        </w:tc>
      </w:tr>
      <w:tr w:rsidR="00AE13BD" w:rsidRPr="00AE13BD" w:rsidTr="00AE13BD"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НДФЛ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5506,6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5674,1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103,0</w:t>
            </w:r>
          </w:p>
        </w:tc>
      </w:tr>
      <w:tr w:rsidR="00AE13BD" w:rsidRPr="00AE13BD" w:rsidTr="00AE13BD"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Акцизы по подакцизным товарам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313,5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452,2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144,2</w:t>
            </w:r>
          </w:p>
        </w:tc>
      </w:tr>
      <w:tr w:rsidR="00AE13BD" w:rsidRPr="00AE13BD" w:rsidTr="00AE13BD"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Налоги на совокупный доход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8118,3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6001,2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73,9</w:t>
            </w:r>
          </w:p>
        </w:tc>
      </w:tr>
      <w:tr w:rsidR="00AE13BD" w:rsidRPr="00AE13BD" w:rsidTr="00AE13BD"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Налоги на имущество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7835,6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9124,1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116,4</w:t>
            </w:r>
          </w:p>
        </w:tc>
      </w:tr>
      <w:tr w:rsidR="00AE13BD" w:rsidRPr="00AE13BD" w:rsidTr="00AE13BD"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из них: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 </w:t>
            </w:r>
          </w:p>
        </w:tc>
      </w:tr>
      <w:tr w:rsidR="00AE13BD" w:rsidRPr="00AE13BD" w:rsidTr="00AE13BD"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1529,3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1532,7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100,2</w:t>
            </w:r>
          </w:p>
        </w:tc>
      </w:tr>
      <w:tr w:rsidR="00AE13BD" w:rsidRPr="00AE13BD" w:rsidTr="00AE13BD"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6306,3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7591,4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120,4</w:t>
            </w:r>
          </w:p>
        </w:tc>
      </w:tr>
      <w:tr w:rsidR="00AE13BD" w:rsidRPr="00AE13BD" w:rsidTr="00AE13BD"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Доходы от использования имущества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1435,1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377,2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26,3</w:t>
            </w:r>
          </w:p>
        </w:tc>
      </w:tr>
      <w:tr w:rsidR="00AE13BD" w:rsidRPr="00AE13BD" w:rsidTr="00AE13BD"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Доходы от оказания платных услуг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244,6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239,1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97,7</w:t>
            </w:r>
          </w:p>
        </w:tc>
      </w:tr>
      <w:tr w:rsidR="00AE13BD" w:rsidRPr="00AE13BD" w:rsidTr="00AE13BD"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100,0</w:t>
            </w:r>
          </w:p>
        </w:tc>
      </w:tr>
      <w:tr w:rsidR="00AE13BD" w:rsidRPr="00AE13BD" w:rsidTr="00AE13BD"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lastRenderedPageBreak/>
              <w:t>Штрафы, санкции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109,9</w:t>
            </w:r>
          </w:p>
        </w:tc>
      </w:tr>
    </w:tbl>
    <w:p w:rsidR="00AE13BD" w:rsidRPr="00AE13BD" w:rsidRDefault="00AE13BD" w:rsidP="00AE13BD">
      <w:pPr>
        <w:shd w:val="clear" w:color="auto" w:fill="FFFFFF"/>
        <w:spacing w:line="240" w:lineRule="auto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</w:t>
      </w:r>
    </w:p>
    <w:p w:rsidR="00AE13BD" w:rsidRPr="00AE13BD" w:rsidRDefault="00AE13BD" w:rsidP="00AE13BD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Одним из </w:t>
      </w:r>
      <w:r w:rsidRPr="00AE13BD">
        <w:rPr>
          <w:rFonts w:ascii="inherit" w:eastAsia="Times New Roman" w:hAnsi="inherit" w:cs="Times New Roman"/>
          <w:color w:val="333333"/>
          <w:sz w:val="16"/>
          <w:szCs w:val="16"/>
          <w:u w:val="single"/>
          <w:bdr w:val="none" w:sz="0" w:space="0" w:color="auto" w:frame="1"/>
          <w:lang w:eastAsia="ru-RU"/>
        </w:rPr>
        <w:t>резервов</w:t>
      </w: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увеличения доходов для поселений являются: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-    средства самообложения граждан;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- работа по недоимке с имущественными налогами (земельным и налогом по имуществу с физических лиц).  </w:t>
      </w:r>
    </w:p>
    <w:p w:rsidR="00AE13BD" w:rsidRPr="00AE13BD" w:rsidRDefault="00AE13BD" w:rsidP="00AE13BD">
      <w:pPr>
        <w:shd w:val="clear" w:color="auto" w:fill="FFFFFF"/>
        <w:spacing w:line="240" w:lineRule="auto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</w:t>
      </w:r>
    </w:p>
    <w:p w:rsidR="00AE13BD" w:rsidRPr="00AE13BD" w:rsidRDefault="00AE13BD" w:rsidP="00AE13BD">
      <w:pPr>
        <w:shd w:val="clear" w:color="auto" w:fill="FFFFFF"/>
        <w:spacing w:after="0" w:line="240" w:lineRule="auto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</w:t>
      </w:r>
      <w:r w:rsidRPr="00AE13BD">
        <w:rPr>
          <w:rFonts w:ascii="pt_sansbold" w:eastAsia="Times New Roman" w:hAnsi="pt_sansbold" w:cs="Times New Roman"/>
          <w:b/>
          <w:bCs/>
          <w:color w:val="333333"/>
          <w:sz w:val="16"/>
          <w:lang w:eastAsia="ru-RU"/>
        </w:rPr>
        <w:t>РАСХОДЫ</w:t>
      </w:r>
    </w:p>
    <w:p w:rsidR="00AE13BD" w:rsidRPr="00AE13BD" w:rsidRDefault="00AE13BD" w:rsidP="00AE13BD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         </w:t>
      </w:r>
      <w:r w:rsidRPr="00AE13BD">
        <w:rPr>
          <w:rFonts w:ascii="pt_sansbold" w:eastAsia="Times New Roman" w:hAnsi="pt_sansbold" w:cs="Times New Roman"/>
          <w:b/>
          <w:bCs/>
          <w:color w:val="333333"/>
          <w:sz w:val="16"/>
          <w:lang w:eastAsia="ru-RU"/>
        </w:rPr>
        <w:t>Расходы</w:t>
      </w: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</w:t>
      </w:r>
      <w:r w:rsidRPr="00AE13BD">
        <w:rPr>
          <w:rFonts w:ascii="pt_sansbold" w:eastAsia="Times New Roman" w:hAnsi="pt_sansbold" w:cs="Times New Roman"/>
          <w:b/>
          <w:bCs/>
          <w:color w:val="333333"/>
          <w:sz w:val="16"/>
          <w:lang w:eastAsia="ru-RU"/>
        </w:rPr>
        <w:t>консолидированного бюджета</w:t>
      </w: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за 2016 год составили 425106,7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ублей, что составляет 93,6% от уточненного плана (425106,7 :454126,9). 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Расходы бюджета муниципального района составили 397154,3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ублей, при плане 422202,2 тыс.руб.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         Расходы сельских и городского поселений составили 55725,2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ублей, при плане 61122 тыс.руб.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</w:t>
      </w:r>
    </w:p>
    <w:p w:rsidR="00AE13BD" w:rsidRPr="00AE13BD" w:rsidRDefault="00AE13BD" w:rsidP="00AE13BD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bold" w:eastAsia="Times New Roman" w:hAnsi="pt_sansbold" w:cs="Times New Roman"/>
          <w:b/>
          <w:bCs/>
          <w:color w:val="333333"/>
          <w:sz w:val="16"/>
          <w:lang w:eastAsia="ru-RU"/>
        </w:rPr>
        <w:t>           Расходы бюджета муниципального района в разрезе функциональной классификации расходов</w:t>
      </w: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сложились следующим образом:</w:t>
      </w:r>
    </w:p>
    <w:p w:rsidR="00AE13BD" w:rsidRPr="00AE13BD" w:rsidRDefault="00AE13BD" w:rsidP="00AE13BD">
      <w:pPr>
        <w:shd w:val="clear" w:color="auto" w:fill="FFFFFF"/>
        <w:spacing w:line="240" w:lineRule="auto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(тыс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ублей)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30"/>
        <w:gridCol w:w="4630"/>
      </w:tblGrid>
      <w:tr w:rsidR="00AE13BD" w:rsidRPr="00AE13BD" w:rsidTr="00AE13BD"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Наименование показателя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pt_sansbold" w:eastAsia="Times New Roman" w:hAnsi="pt_sansbold" w:cs="Times New Roman"/>
                <w:b/>
                <w:bCs/>
                <w:color w:val="333333"/>
                <w:sz w:val="16"/>
                <w:lang w:eastAsia="ru-RU"/>
              </w:rPr>
              <w:t>Сумма</w:t>
            </w:r>
          </w:p>
        </w:tc>
      </w:tr>
      <w:tr w:rsidR="00AE13BD" w:rsidRPr="00AE13BD" w:rsidTr="00AE13BD"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общегосударственные расходы  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29073,6</w:t>
            </w:r>
          </w:p>
        </w:tc>
      </w:tr>
      <w:tr w:rsidR="00AE13BD" w:rsidRPr="00AE13BD" w:rsidTr="00AE13BD"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-национальная  оборона 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666,9</w:t>
            </w:r>
          </w:p>
        </w:tc>
      </w:tr>
      <w:tr w:rsidR="00AE13BD" w:rsidRPr="00AE13BD" w:rsidTr="00AE13BD"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-национальная безопасность и</w:t>
            </w:r>
          </w:p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 правоохранительная деятельность 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4652,5</w:t>
            </w:r>
          </w:p>
        </w:tc>
      </w:tr>
      <w:tr w:rsidR="00AE13BD" w:rsidRPr="00AE13BD" w:rsidTr="00AE13BD"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-национальная экономика 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8835,8</w:t>
            </w:r>
          </w:p>
        </w:tc>
      </w:tr>
      <w:tr w:rsidR="00AE13BD" w:rsidRPr="00AE13BD" w:rsidTr="00AE13BD"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-жилищно-коммунальное хозяйство  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24773,5</w:t>
            </w:r>
          </w:p>
        </w:tc>
      </w:tr>
      <w:tr w:rsidR="00AE13BD" w:rsidRPr="00AE13BD" w:rsidTr="00AE13BD"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-образование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180526,6</w:t>
            </w:r>
          </w:p>
        </w:tc>
      </w:tr>
      <w:tr w:rsidR="00AE13BD" w:rsidRPr="00AE13BD" w:rsidTr="00AE13BD"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-культура, кинематография   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13126,1</w:t>
            </w:r>
          </w:p>
        </w:tc>
      </w:tr>
      <w:tr w:rsidR="00AE13BD" w:rsidRPr="00AE13BD" w:rsidTr="00AE13BD"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-социальная политика  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111909,4</w:t>
            </w:r>
          </w:p>
        </w:tc>
      </w:tr>
      <w:tr w:rsidR="00AE13BD" w:rsidRPr="00AE13BD" w:rsidTr="00AE13BD"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-физическая культура и спорт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1515</w:t>
            </w:r>
          </w:p>
        </w:tc>
      </w:tr>
      <w:tr w:rsidR="00AE13BD" w:rsidRPr="00AE13BD" w:rsidTr="00AE13BD"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-средства массовой информации  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1050,0</w:t>
            </w:r>
          </w:p>
        </w:tc>
      </w:tr>
      <w:tr w:rsidR="00AE13BD" w:rsidRPr="00AE13BD" w:rsidTr="00AE13BD"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- обслуживание муниципального долга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118,9</w:t>
            </w:r>
          </w:p>
        </w:tc>
      </w:tr>
      <w:tr w:rsidR="00AE13BD" w:rsidRPr="00AE13BD" w:rsidTr="00AE13BD"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-межбюджетные трансферты общего характера муниципальных образований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AE13BD" w:rsidRPr="00AE13BD" w:rsidRDefault="00AE13BD" w:rsidP="00AE13BD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</w:pPr>
            <w:r w:rsidRPr="00AE13BD">
              <w:rPr>
                <w:rFonts w:ascii="inherit" w:eastAsia="Times New Roman" w:hAnsi="inherit" w:cs="Times New Roman"/>
                <w:color w:val="333333"/>
                <w:sz w:val="16"/>
                <w:szCs w:val="16"/>
                <w:lang w:eastAsia="ru-RU"/>
              </w:rPr>
              <w:t>20906</w:t>
            </w:r>
          </w:p>
        </w:tc>
      </w:tr>
    </w:tbl>
    <w:p w:rsidR="00AE13BD" w:rsidRPr="00AE13BD" w:rsidRDefault="00AE13BD" w:rsidP="00AE13BD">
      <w:pPr>
        <w:shd w:val="clear" w:color="auto" w:fill="FFFFFF"/>
        <w:spacing w:line="240" w:lineRule="auto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         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Кредиторская задолженность по состоянию на 01.01.2017 составила 37492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уб., в том числе: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Муниципальный район – 23114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уб.,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Городское поселение – 8547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уб.,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Сельские поселения – 5831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уб.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По сравнению с 2015 годов кредиторская задолженность сократилась на 9471 тыс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.р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уб.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          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          Основная цель работы отдела финансов администрации – обеспечение сбалансированности, эффективности расходования бюджетных средств и устойчивости бюджетов.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 xml:space="preserve">          Для достижения этой цели необходимо продолжить работу по мобилизации поступления доходов в местные бюджеты района, 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согласно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 xml:space="preserve"> разработанного плана, где отражены основные мероприятия по увеличению доходной части бюджета, прежде всего это –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lastRenderedPageBreak/>
        <w:t>- выявление собственников земельных участков и другого недвижимого имущества и привлечения их к налогообложению, содействие в оформлении прав собственности на земельные участки и имущество физическими лицами;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- выявление используемых не по целевому назначению (неиспользуемых) земель сельскохозяйственного назначения для применения к ним повышенной ставки налога;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- обеспечение мер по взысканию недоимки по налогам.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 xml:space="preserve">          Следует также повышать эффективность расходования бюджетных средств, усилить 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контроль за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 xml:space="preserve"> использованием бюджетных средств. В 2016 году отделом финансов проведено 11 плановых контрольных мероприятий. По результатам выписаны представления. Все выявленные нарушения устранены. На 1 полугодие 2017 года запланировано 8 контрольных мероприятий.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 xml:space="preserve">           С 01 января 2017 года вступила в силу ч.5 статьи 99 Федерального закона 44-ФЗ, согласно которой финансовые органы осуществляют контроль 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за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: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 xml:space="preserve">- объемом финансового обеспечения, 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указанном</w:t>
      </w:r>
      <w:proofErr w:type="gramEnd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 xml:space="preserve"> в планах закупок;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- соответствием информации об идентификационных кодах закупок и об объеме финансового обеспечения для осуществления данных закупок, содержащейся:</w:t>
      </w:r>
    </w:p>
    <w:p w:rsid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- в планах графиках, извещениях, протоколах, проектов контрактов, реестрах контрактов.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hyperlink r:id="rId4" w:history="1">
        <w:r w:rsidRPr="00AE13BD">
          <w:rPr>
            <w:rStyle w:val="a6"/>
            <w:rFonts w:ascii="pt_sansregular" w:eastAsia="Times New Roman" w:hAnsi="pt_sansregular" w:cs="Times New Roman"/>
            <w:sz w:val="16"/>
            <w:szCs w:val="16"/>
            <w:lang w:eastAsia="ru-RU"/>
          </w:rPr>
          <w:t>Презент</w:t>
        </w:r>
        <w:r w:rsidRPr="00AE13BD">
          <w:rPr>
            <w:rStyle w:val="a6"/>
            <w:rFonts w:ascii="pt_sansregular" w:eastAsia="Times New Roman" w:hAnsi="pt_sansregular" w:cs="Times New Roman"/>
            <w:sz w:val="16"/>
            <w:szCs w:val="16"/>
            <w:lang w:eastAsia="ru-RU"/>
          </w:rPr>
          <w:t>а</w:t>
        </w:r>
        <w:r w:rsidRPr="00AE13BD">
          <w:rPr>
            <w:rStyle w:val="a6"/>
            <w:rFonts w:ascii="pt_sansregular" w:eastAsia="Times New Roman" w:hAnsi="pt_sansregular" w:cs="Times New Roman"/>
            <w:sz w:val="16"/>
            <w:szCs w:val="16"/>
            <w:lang w:eastAsia="ru-RU"/>
          </w:rPr>
          <w:t>ция к отчету</w:t>
        </w:r>
      </w:hyperlink>
    </w:p>
    <w:p w:rsidR="00AE13BD" w:rsidRPr="00AE13BD" w:rsidRDefault="00AE13BD" w:rsidP="00AE13BD">
      <w:pPr>
        <w:shd w:val="clear" w:color="auto" w:fill="FFFFFF"/>
        <w:spacing w:line="240" w:lineRule="auto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  </w:t>
      </w:r>
    </w:p>
    <w:p w:rsidR="00AE13BD" w:rsidRPr="00AE13BD" w:rsidRDefault="00AE13BD" w:rsidP="00AE13BD">
      <w:pPr>
        <w:shd w:val="clear" w:color="auto" w:fill="FFFFFF"/>
        <w:spacing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</w:pPr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И.о. заведующего отделом финансов                                                       О.Г.</w:t>
      </w:r>
      <w:proofErr w:type="gramStart"/>
      <w:r w:rsidRPr="00AE13BD">
        <w:rPr>
          <w:rFonts w:ascii="pt_sansregular" w:eastAsia="Times New Roman" w:hAnsi="pt_sansregular" w:cs="Times New Roman"/>
          <w:color w:val="333333"/>
          <w:sz w:val="16"/>
          <w:szCs w:val="16"/>
          <w:lang w:eastAsia="ru-RU"/>
        </w:rPr>
        <w:t>Базовая</w:t>
      </w:r>
      <w:proofErr w:type="gramEnd"/>
    </w:p>
    <w:p w:rsidR="003C6295" w:rsidRDefault="003C6295"/>
    <w:sectPr w:rsidR="003C6295" w:rsidSect="003C6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_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_sans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E13BD"/>
    <w:rsid w:val="001D7C24"/>
    <w:rsid w:val="003C6295"/>
    <w:rsid w:val="005058D6"/>
    <w:rsid w:val="00971677"/>
    <w:rsid w:val="00AE13BD"/>
    <w:rsid w:val="00BE1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1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13BD"/>
    <w:rPr>
      <w:b/>
      <w:bCs/>
    </w:rPr>
  </w:style>
  <w:style w:type="paragraph" w:customStyle="1" w:styleId="consplusnormal">
    <w:name w:val="consplusnormal"/>
    <w:basedOn w:val="a"/>
    <w:rsid w:val="00AE1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E13BD"/>
    <w:rPr>
      <w:i/>
      <w:iCs/>
    </w:rPr>
  </w:style>
  <w:style w:type="character" w:styleId="a6">
    <w:name w:val="Hyperlink"/>
    <w:basedOn w:val="a0"/>
    <w:uiPriority w:val="99"/>
    <w:unhideWhenUsed/>
    <w:rsid w:val="00AE13BD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AE13B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duminichi.ru/uploads/Finansi/&#1055;&#1088;&#1077;&#1079;&#1077;&#1085;&#1090;&#1072;&#1094;&#1080;&#1103;1.pp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1218</Words>
  <Characters>6946</Characters>
  <Application>Microsoft Office Word</Application>
  <DocSecurity>0</DocSecurity>
  <Lines>57</Lines>
  <Paragraphs>16</Paragraphs>
  <ScaleCrop>false</ScaleCrop>
  <Company/>
  <LinksUpToDate>false</LinksUpToDate>
  <CharactersWithSpaces>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2018-01-24T05:08:00Z</dcterms:created>
  <dcterms:modified xsi:type="dcterms:W3CDTF">2018-01-24T05:12:00Z</dcterms:modified>
</cp:coreProperties>
</file>