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C0" w:rsidRDefault="00F710A7">
      <w:pPr>
        <w:ind w:left="567" w:hanging="567"/>
        <w:jc w:val="center"/>
      </w:pPr>
      <w:r>
        <w:rPr>
          <w:noProof/>
          <w:lang w:eastAsia="ru-RU"/>
        </w:rPr>
        <w:drawing>
          <wp:inline distT="0" distB="0" distL="0" distR="0">
            <wp:extent cx="6870065" cy="897890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06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Какие пособия калужским призывникам и членам их семей выплачивает Пенсионный фонд </w:t>
      </w:r>
    </w:p>
    <w:p w:rsidR="00A327C0" w:rsidRDefault="00F710A7">
      <w:pPr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Напоминаем, что с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1 января 2022 года в </w:t>
      </w:r>
      <w:r>
        <w:rPr>
          <w:rFonts w:ascii="Times New Roman" w:eastAsia="Times New Roman" w:hAnsi="Times New Roman" w:cs="Times New Roman"/>
          <w:color w:val="212121"/>
          <w:sz w:val="30"/>
          <w:szCs w:val="30"/>
        </w:rPr>
        <w:t xml:space="preserve">соответствии с </w:t>
      </w:r>
      <w:hyperlink r:id="rId7">
        <w:r>
          <w:rPr>
            <w:rFonts w:ascii="Times New Roman" w:eastAsia="Times New Roman" w:hAnsi="Times New Roman" w:cs="Times New Roman"/>
            <w:sz w:val="30"/>
            <w:szCs w:val="30"/>
          </w:rPr>
          <w:t>принятыми поправками</w:t>
        </w:r>
      </w:hyperlink>
      <w:r>
        <w:rPr>
          <w:rFonts w:ascii="Times New Roman" w:eastAsia="Times New Roman" w:hAnsi="Times New Roman" w:cs="Times New Roman"/>
          <w:color w:val="212121"/>
          <w:sz w:val="30"/>
          <w:szCs w:val="30"/>
        </w:rPr>
        <w:t xml:space="preserve"> в федеральное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законодательство на Пенсионный фонд  возложены 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новые дополнительные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функции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и бюджетные полномочия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по осуществлению некоторых мер социальной поддержки, которые ранее  исполняли региональные органы соцзащиты и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Роструд</w:t>
      </w:r>
      <w:proofErr w:type="spellEnd"/>
      <w:r>
        <w:rPr>
          <w:rFonts w:ascii="Times New Roman" w:eastAsia="Times New Roman" w:hAnsi="Times New Roman" w:cs="Times New Roman"/>
          <w:color w:val="212121"/>
          <w:sz w:val="30"/>
          <w:szCs w:val="30"/>
        </w:rPr>
        <w:t xml:space="preserve">. 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Речь идет, в том числе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о пособиях, выплатах, компенсациях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для в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оеннослужащих и членах их семей, пенсионное обеспечение которых осуществляет ПФР. </w:t>
      </w:r>
    </w:p>
    <w:p w:rsidR="00A327C0" w:rsidRDefault="00A327C0">
      <w:pPr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Так, например,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через Пенсионный фонд назначаются единовременное пособие беременной жене военнослужащего, проходящего военную </w:t>
      </w:r>
      <w:r>
        <w:rPr>
          <w:rFonts w:ascii="Times New Roman" w:hAnsi="Times New Roman" w:cs="Times New Roman"/>
          <w:color w:val="000000"/>
          <w:sz w:val="30"/>
          <w:szCs w:val="30"/>
        </w:rPr>
        <w:t>службу по призыву и ежемесячное пособие на ребенка военнослужащего, проходящего военную службу по призыву.</w:t>
      </w:r>
    </w:p>
    <w:p w:rsidR="00A327C0" w:rsidRDefault="00A327C0">
      <w:pPr>
        <w:spacing w:after="0" w:line="240" w:lineRule="auto"/>
      </w:pP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 известно, в России мужчины в возрасте от 18 до 27 лет призываются на военную службу</w:t>
      </w:r>
      <w:r>
        <w:rPr>
          <w:rFonts w:ascii="Times New Roman" w:hAnsi="Times New Roman"/>
          <w:color w:val="000000"/>
          <w:sz w:val="28"/>
          <w:szCs w:val="28"/>
        </w:rPr>
        <w:t>. Однако некоторые из них к моменту призыва уже обзаводятся с</w:t>
      </w:r>
      <w:r>
        <w:rPr>
          <w:rFonts w:ascii="Times New Roman" w:hAnsi="Times New Roman"/>
          <w:color w:val="000000"/>
          <w:sz w:val="28"/>
          <w:szCs w:val="28"/>
        </w:rPr>
        <w:t xml:space="preserve">емьями и заводят детей. Фактически, во время прохождения супругом военной службы по призыву, дети военнослужащего остаются без материальной поддержки отца. </w:t>
      </w: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Государство учитывает, что отец ребенка проходит обязательную военную службу, и принимает на себя </w:t>
      </w:r>
      <w:r>
        <w:rPr>
          <w:rFonts w:ascii="Times New Roman" w:hAnsi="Times New Roman"/>
          <w:color w:val="000000"/>
          <w:sz w:val="28"/>
          <w:szCs w:val="28"/>
        </w:rPr>
        <w:t xml:space="preserve">обязательства по материальной помощи семье солдата. </w:t>
      </w: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таким мерам социальной поддержки относятся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единовременное </w:t>
      </w:r>
      <w:r>
        <w:rPr>
          <w:rFonts w:ascii="Times New Roman" w:hAnsi="Times New Roman"/>
          <w:color w:val="000000"/>
          <w:sz w:val="28"/>
          <w:szCs w:val="28"/>
        </w:rPr>
        <w:t xml:space="preserve">пособие беременной жене военнослужащего, проходящего военную службу по призыву 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ежемесячное</w:t>
      </w:r>
      <w:r>
        <w:rPr>
          <w:rFonts w:ascii="Times New Roman" w:hAnsi="Times New Roman"/>
          <w:color w:val="000000"/>
          <w:sz w:val="28"/>
          <w:szCs w:val="28"/>
        </w:rPr>
        <w:t xml:space="preserve"> пособие на ребенка военнослужащего, проходящего </w:t>
      </w:r>
      <w:r>
        <w:rPr>
          <w:rFonts w:ascii="Times New Roman" w:hAnsi="Times New Roman"/>
          <w:color w:val="000000"/>
          <w:sz w:val="28"/>
          <w:szCs w:val="28"/>
        </w:rPr>
        <w:t>военную службу по призыву.</w:t>
      </w:r>
    </w:p>
    <w:p w:rsidR="00A327C0" w:rsidRDefault="00A327C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1 февраля 2022 года размер единовременного пособия составляет 32420, 77 руб., а ежемесячного -  13894, 61 руб.</w:t>
      </w:r>
    </w:p>
    <w:p w:rsidR="00A327C0" w:rsidRDefault="00A327C0">
      <w:pPr>
        <w:pStyle w:val="a1"/>
        <w:spacing w:after="0" w:line="240" w:lineRule="auto"/>
        <w:rPr>
          <w:rStyle w:val="a6"/>
          <w:rFonts w:ascii="Times New Roman" w:hAnsi="Times New Roman"/>
          <w:b w:val="0"/>
          <w:bCs w:val="0"/>
        </w:rPr>
      </w:pPr>
    </w:p>
    <w:p w:rsidR="00A327C0" w:rsidRDefault="00F710A7">
      <w:pPr>
        <w:pStyle w:val="a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Для получения </w:t>
      </w:r>
      <w:r>
        <w:rPr>
          <w:rStyle w:val="a6"/>
          <w:rFonts w:ascii="Times New Roman" w:hAnsi="Times New Roman"/>
          <w:color w:val="000000"/>
          <w:sz w:val="28"/>
          <w:szCs w:val="28"/>
        </w:rPr>
        <w:t>единовременной выплаты</w:t>
      </w: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необходимо обратиться в клиентскую службу ОПФР с заявлением о назначении </w:t>
      </w: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>пособия и следующими документами: свидетельство о заключении брака, справка из женской консультации либо другой медицинской организации, поставившей женщину на учет, справка из воинской части о прохождении мужем военной службы по призыву (с указанием срока</w:t>
      </w: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службы); после окончания военной службы по призыву — из военного комиссариата по месту призыва, паспорт  заявителя и реквизиты банковского счета, для перечисления выплаты.</w:t>
      </w:r>
    </w:p>
    <w:p w:rsidR="00A327C0" w:rsidRDefault="00A327C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Ежемесячное пособие</w:t>
      </w:r>
      <w:r>
        <w:rPr>
          <w:rFonts w:ascii="Times New Roman" w:hAnsi="Times New Roman"/>
          <w:color w:val="000000"/>
          <w:sz w:val="28"/>
          <w:szCs w:val="28"/>
        </w:rPr>
        <w:t xml:space="preserve"> выплачивается на каждого ребенка военнослужащего и является фи</w:t>
      </w:r>
      <w:r>
        <w:rPr>
          <w:rFonts w:ascii="Times New Roman" w:hAnsi="Times New Roman"/>
          <w:color w:val="000000"/>
          <w:sz w:val="28"/>
          <w:szCs w:val="28"/>
        </w:rPr>
        <w:t xml:space="preserve">ксированным, то есть не зависит от дохода матери или опекуна детей. </w:t>
      </w:r>
    </w:p>
    <w:p w:rsidR="00A327C0" w:rsidRDefault="00F710A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>Выплачивается оно со дня рождения ребенка, но не ранее начала отцом военной службы, прекращается по достижении ребенком возраста трех лет, но не позднее дня окончания отцом военной службы</w:t>
      </w:r>
      <w:r>
        <w:rPr>
          <w:rStyle w:val="a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по призыву. Причем это пособие выплачивается независимо от того, имеет ли права мама ребенка на какие-либо иные виды пособий.</w:t>
      </w:r>
    </w:p>
    <w:p w:rsidR="00A327C0" w:rsidRDefault="00A327C0">
      <w:pPr>
        <w:spacing w:after="283" w:line="240" w:lineRule="auto"/>
        <w:rPr>
          <w:rFonts w:ascii="Times New Roman" w:hAnsi="Times New Roman"/>
          <w:sz w:val="28"/>
          <w:szCs w:val="28"/>
        </w:rPr>
      </w:pPr>
    </w:p>
    <w:p w:rsidR="00A327C0" w:rsidRDefault="00F710A7">
      <w:pPr>
        <w:spacing w:after="283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его оформления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 ребенка либо его опекуну необходимо обратиться по месту жительства  в клиентскую службу ОПФР с пакетом</w:t>
      </w:r>
      <w:r>
        <w:rPr>
          <w:rFonts w:ascii="Times New Roman" w:hAnsi="Times New Roman"/>
          <w:sz w:val="28"/>
          <w:szCs w:val="28"/>
        </w:rPr>
        <w:t xml:space="preserve"> документов - заявление, паспорт, свидетельство о рождении ребенка, справка из воинской части о прохождении отцом ребенка военной службы по призыву и реквизиты банковского счета, куда будет перечисляться данное пособие. </w:t>
      </w:r>
    </w:p>
    <w:p w:rsidR="00A327C0" w:rsidRDefault="00F710A7">
      <w:pPr>
        <w:pStyle w:val="a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по выплатам будет принято в</w:t>
      </w:r>
      <w:r>
        <w:rPr>
          <w:rFonts w:ascii="Times New Roman" w:hAnsi="Times New Roman"/>
          <w:color w:val="000000"/>
          <w:sz w:val="28"/>
          <w:szCs w:val="28"/>
        </w:rPr>
        <w:t xml:space="preserve"> течение 10 рабочих дней. </w:t>
      </w:r>
    </w:p>
    <w:p w:rsidR="00A327C0" w:rsidRDefault="00A327C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327C0" w:rsidRDefault="00F710A7">
      <w:pPr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Более подробно о выплатах военным и членам их семей можно узнать на сайте ПФР РФ </w:t>
      </w:r>
      <w:hyperlink r:id="rId8">
        <w:r>
          <w:rPr>
            <w:rFonts w:ascii="Times New Roman" w:hAnsi="Times New Roman"/>
            <w:color w:val="000000"/>
            <w:sz w:val="28"/>
            <w:szCs w:val="28"/>
          </w:rPr>
          <w:t>https://pfr.gov.ru/grazhdanam/mery_podderzhki/Military_families</w:t>
        </w:r>
        <w:r>
          <w:rPr>
            <w:rFonts w:ascii="Times New Roman" w:hAnsi="Times New Roman"/>
            <w:color w:val="000000"/>
            <w:sz w:val="28"/>
            <w:szCs w:val="28"/>
          </w:rPr>
          <w:t>/</w:t>
        </w:r>
      </w:hyperlink>
    </w:p>
    <w:p w:rsidR="00A327C0" w:rsidRDefault="00F710A7">
      <w:pPr>
        <w:spacing w:line="240" w:lineRule="auto"/>
        <w:jc w:val="both"/>
      </w:pPr>
      <w:r>
        <w:rPr>
          <w:rFonts w:ascii="Times New Roman" w:hAnsi="Times New Roman" w:cs="Times New Roman"/>
          <w:color w:val="212121"/>
          <w:sz w:val="30"/>
          <w:szCs w:val="30"/>
          <w:shd w:val="clear" w:color="auto" w:fill="FFFFFF"/>
        </w:rPr>
        <w:t xml:space="preserve">или по телефону </w:t>
      </w:r>
      <w:proofErr w:type="gramStart"/>
      <w:r>
        <w:rPr>
          <w:rFonts w:ascii="Times New Roman" w:hAnsi="Times New Roman" w:cs="Times New Roman"/>
          <w:color w:val="212121"/>
          <w:sz w:val="30"/>
          <w:szCs w:val="30"/>
          <w:shd w:val="clear" w:color="auto" w:fill="FFFFFF"/>
        </w:rPr>
        <w:t>регионального</w:t>
      </w:r>
      <w:proofErr w:type="gramEnd"/>
      <w:r>
        <w:rPr>
          <w:rFonts w:ascii="Times New Roman" w:hAnsi="Times New Roman" w:cs="Times New Roman"/>
          <w:color w:val="212121"/>
          <w:sz w:val="30"/>
          <w:szCs w:val="30"/>
          <w:shd w:val="clear" w:color="auto" w:fill="FFFFFF"/>
        </w:rPr>
        <w:t xml:space="preserve"> контакт-центра ОПФР по Калужской области 8-800-600-0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596  (звонок бесплатный). </w:t>
      </w:r>
    </w:p>
    <w:p w:rsidR="00A327C0" w:rsidRDefault="00A327C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212121"/>
          <w:sz w:val="30"/>
          <w:szCs w:val="30"/>
          <w:shd w:val="clear" w:color="auto" w:fill="FFFFFF"/>
        </w:rPr>
      </w:pPr>
    </w:p>
    <w:p w:rsidR="00A327C0" w:rsidRDefault="00F710A7">
      <w:pPr>
        <w:spacing w:line="240" w:lineRule="auto"/>
        <w:ind w:left="567" w:hanging="567"/>
        <w:rPr>
          <w:rFonts w:ascii="Times New Roman" w:hAnsi="Times New Roman" w:cs="Times New Roman"/>
          <w:i/>
          <w:iCs/>
          <w:color w:val="212121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212121"/>
          <w:sz w:val="30"/>
          <w:szCs w:val="30"/>
          <w:shd w:val="clear" w:color="auto" w:fill="FFFFFF"/>
        </w:rPr>
        <w:t xml:space="preserve">Клиентская служба в </w:t>
      </w:r>
      <w:proofErr w:type="spellStart"/>
      <w:r>
        <w:rPr>
          <w:rFonts w:ascii="Times New Roman" w:hAnsi="Times New Roman" w:cs="Times New Roman"/>
          <w:i/>
          <w:iCs/>
          <w:color w:val="212121"/>
          <w:sz w:val="30"/>
          <w:szCs w:val="30"/>
          <w:shd w:val="clear" w:color="auto" w:fill="FFFFFF"/>
        </w:rPr>
        <w:t>Думиничском</w:t>
      </w:r>
      <w:proofErr w:type="spellEnd"/>
      <w:r>
        <w:rPr>
          <w:rFonts w:ascii="Times New Roman" w:hAnsi="Times New Roman" w:cs="Times New Roman"/>
          <w:i/>
          <w:iCs/>
          <w:color w:val="212121"/>
          <w:sz w:val="30"/>
          <w:szCs w:val="30"/>
          <w:shd w:val="clear" w:color="auto" w:fill="FFFFFF"/>
        </w:rPr>
        <w:t xml:space="preserve"> районе</w:t>
      </w:r>
      <w:bookmarkStart w:id="0" w:name="_GoBack"/>
      <w:bookmarkEnd w:id="0"/>
    </w:p>
    <w:sectPr w:rsidR="00A327C0">
      <w:pgSz w:w="11906" w:h="16838"/>
      <w:pgMar w:top="1134" w:right="850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D1EA5"/>
    <w:multiLevelType w:val="multilevel"/>
    <w:tmpl w:val="9E383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C0"/>
    <w:rsid w:val="00A327C0"/>
    <w:rsid w:val="00F7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480F5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7">
    <w:name w:val="List"/>
    <w:basedOn w:val="a1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480F5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480F5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7">
    <w:name w:val="List"/>
    <w:basedOn w:val="a1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480F5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grazhdanam/mery_podderzhki/Military_familie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1120600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dc:description/>
  <cp:lastModifiedBy>Селянкина Татьяна Викторовна</cp:lastModifiedBy>
  <cp:revision>6</cp:revision>
  <cp:lastPrinted>2022-02-21T12:11:00Z</cp:lastPrinted>
  <dcterms:created xsi:type="dcterms:W3CDTF">2021-12-10T06:39:00Z</dcterms:created>
  <dcterms:modified xsi:type="dcterms:W3CDTF">2022-02-22T06:10:00Z</dcterms:modified>
  <dc:language>ru-RU</dc:language>
</cp:coreProperties>
</file>