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D" w:rsidRPr="0003104E" w:rsidRDefault="00194C6D" w:rsidP="00194C6D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3D61251" wp14:editId="56899D11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6D" w:rsidRPr="0003104E" w:rsidRDefault="00194C6D" w:rsidP="00194C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194C6D" w:rsidRPr="0003104E" w:rsidRDefault="00194C6D" w:rsidP="00194C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194C6D" w:rsidRPr="0003104E" w:rsidRDefault="00194C6D" w:rsidP="00194C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194C6D" w:rsidRPr="0003104E" w:rsidRDefault="00194C6D" w:rsidP="00194C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194C6D" w:rsidRDefault="00194C6D" w:rsidP="00194C6D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A039B4" w:rsidRPr="0003104E" w:rsidRDefault="00A039B4" w:rsidP="00194C6D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</w:p>
    <w:p w:rsidR="00194C6D" w:rsidRDefault="00194C6D" w:rsidP="00194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B70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мая   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2023г.                                                                            № </w:t>
      </w:r>
      <w:r w:rsidR="00B70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87-р</w:t>
      </w:r>
    </w:p>
    <w:p w:rsidR="00194C6D" w:rsidRPr="0003104E" w:rsidRDefault="00194C6D" w:rsidP="00194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4C6D" w:rsidRPr="0003104E" w:rsidRDefault="00194C6D" w:rsidP="00194C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      утверждении        проекта       административного</w:t>
      </w:r>
    </w:p>
    <w:p w:rsidR="00194C6D" w:rsidRPr="0003104E" w:rsidRDefault="00194C6D" w:rsidP="00194C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194C6D" w:rsidRDefault="00194C6D" w:rsidP="00194C6D">
      <w:pPr>
        <w:spacing w:after="0" w:line="240" w:lineRule="auto"/>
        <w:ind w:right="69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Выдача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свидетельств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праве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меры социальной</w:t>
      </w:r>
      <w:proofErr w:type="gramEnd"/>
    </w:p>
    <w:p w:rsidR="00194C6D" w:rsidRDefault="00194C6D" w:rsidP="00194C6D">
      <w:pPr>
        <w:spacing w:after="0" w:line="240" w:lineRule="auto"/>
        <w:ind w:right="69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поддержки реабилитированных лиц и лиц, признанных </w:t>
      </w:r>
    </w:p>
    <w:p w:rsidR="00194C6D" w:rsidRDefault="00194C6D" w:rsidP="00194C6D">
      <w:pPr>
        <w:spacing w:after="0" w:line="240" w:lineRule="auto"/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пострадавшими от политических репрессий</w:t>
      </w:r>
      <w:r w:rsidRPr="00194C6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A039B4" w:rsidRPr="00194C6D" w:rsidRDefault="00A039B4" w:rsidP="00194C6D">
      <w:pPr>
        <w:spacing w:after="0" w:line="240" w:lineRule="auto"/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194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194C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194C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Думиничский</w:t>
      </w:r>
      <w:proofErr w:type="spellEnd"/>
      <w:r w:rsidRPr="00194C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район».</w:t>
      </w:r>
      <w:r w:rsidRPr="00194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194C6D" w:rsidRPr="00194C6D" w:rsidRDefault="00194C6D" w:rsidP="0019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autoSpaceDE w:val="0"/>
        <w:autoSpaceDN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проект административного регламента «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</w:r>
      <w:r w:rsidRPr="00194C6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194C6D" w:rsidRPr="00194C6D" w:rsidRDefault="00194C6D" w:rsidP="0019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94C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с даты подписания настоящего Распоряжения разместить проект названного административного регламента, </w:t>
      </w:r>
      <w:proofErr w:type="gramStart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информационно-телекоммуникационной сети Интернет на официальном сайте МР «</w:t>
      </w:r>
      <w:proofErr w:type="spellStart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194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194C6D" w:rsidRPr="00194C6D" w:rsidRDefault="00194C6D" w:rsidP="00194C6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194C6D" w:rsidRPr="00194C6D" w:rsidRDefault="00194C6D" w:rsidP="00194C6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194C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194C6D" w:rsidRPr="0003104E" w:rsidRDefault="00194C6D" w:rsidP="00194C6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4C6D" w:rsidRPr="0003104E" w:rsidRDefault="00194C6D" w:rsidP="0019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4C6D" w:rsidRPr="0003104E" w:rsidRDefault="00194C6D" w:rsidP="00194C6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</w:t>
      </w:r>
      <w:proofErr w:type="spellStart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194C6D" w:rsidRDefault="00194C6D" w:rsidP="00194C6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A039B4" w:rsidRDefault="00A039B4" w:rsidP="00194C6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194C6D" w:rsidRDefault="00194C6D" w:rsidP="00194C6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194C6D" w:rsidRPr="0003104E" w:rsidRDefault="00194C6D" w:rsidP="00194C6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распоряжению </w:t>
      </w:r>
    </w:p>
    <w:p w:rsidR="00194C6D" w:rsidRPr="0003104E" w:rsidRDefault="00194C6D" w:rsidP="00194C6D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AF6634" w:rsidRPr="00B70EEF" w:rsidRDefault="00194C6D" w:rsidP="00194C6D">
      <w:pPr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от  </w:t>
      </w:r>
      <w:r w:rsidR="00B70E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29.05.2023</w:t>
      </w: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г. №</w:t>
      </w:r>
      <w:r w:rsidR="00B70E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0EEF" w:rsidRPr="00B70E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87-р</w:t>
      </w:r>
    </w:p>
    <w:p w:rsid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АДМИНИСТРАТИВНЫЙ РЕГЛАМЕНТ</w:t>
      </w:r>
      <w:bookmarkStart w:id="0" w:name="_GoBack"/>
      <w:bookmarkEnd w:id="0"/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ПРЕДОСТАВЛЕНИЯ ГОСУДАРСТВЕННОЙ УСЛУГИ 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«ВЫДАЧА СВИДЕТЕЛЬСТВ О ПРАВЕ НА МЕРЫ СОЦИАЛЬНОЙ ПОДДЕРЖКИ РЕАБИЛИТИРОВАННЫХ ЛИЦ И ЛИЦ, ПРИЗНАННЫХ ПОСТРАДАВШИМИ ОТ ПОЛИТИЧЕСКИХ РЕПРЕССИЙ»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1.1. Предмет регулирования административного регламента предоставления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государственной услуги «Выдача свидетельств о праве на меры социальной поддержки реабилитированных лиц и лиц, признанных пострадавшими от политических репрессий» (далее - административный регламент) разработан в целях повышения качества предоставления и доступности результатов исполнения государственной услуги по выдаче свидетельств о праве на меры социальной поддержки реабилитированных лиц и лиц, признанных пострадавшими от политических репрессий, и определяет последовательность действий (далее - административные процедуры) при осуществлении полномочий по выдаче свидетельств о праве на меры социальной поддержки реабилитированных лиц и лиц, признанных пострадавшими от политических репрессий.</w:t>
      </w:r>
    </w:p>
    <w:p w:rsidR="00BE4AF3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Предоставление государственной услуги «Выдача свидетельств о праве на меры социальной поддержки реабилитированных лиц и лиц, признанных пострадавшими от политических репрессий» (далее - государственная услуга) на территории муниципального </w:t>
      </w:r>
      <w:r w:rsidR="00BE4A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района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A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BE4A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BE4A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район»,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BE4A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социальной защиты населения администрации МР «</w:t>
      </w:r>
      <w:proofErr w:type="spellStart"/>
      <w:r w:rsidR="00BE4AF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BE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</w:t>
      </w:r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переданных полномочий в соответствии с </w:t>
      </w:r>
      <w:hyperlink r:id="rId6" w:history="1">
        <w:r w:rsidR="00BE4AF3"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</w:t>
      </w:r>
      <w:r w:rsidR="00BE4A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26.09.2005 N 120-ОЗ «</w:t>
      </w:r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органов местного самоуправления муниципальных районов и</w:t>
      </w:r>
      <w:proofErr w:type="gramEnd"/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городских округов Калужской области отдельным</w:t>
      </w:r>
      <w:r w:rsidR="00BE4AF3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государственными полномочиями»</w:t>
      </w:r>
      <w:r w:rsidR="00BE4AF3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Министерство труда и социальной защиты Калужской области контролирует деятельность уполномоченного органа по предоставлению государственной услуги (далее - министерство).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 Описание заявителей.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P55"/>
      <w:bookmarkEnd w:id="1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1.2.1. 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Заявителями являются граждане Российской Федерации, проживающие на территории муниципального </w:t>
      </w:r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района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район»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имеющие документ о признании гражданина реабилитированным лицом или лицом, пострадавшим от политических репрессий, выданный органами прокуратуры или органами внутренних дел в установленном законодательством порядке (справку о реабилитации, справку о признании пострадавшим от политических репрессий, заключение о соответствии законодательству Российской Федерации документов о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реабилитации или признании лиц пострадавшими от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политических репрессий, выданных в государствах - бывших союзных республиках СССР), а также их уполномоченные представители, обратившиеся в уполномоченный орган за предоставлением государственной услуги.</w:t>
      </w:r>
    </w:p>
    <w:p w:rsid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1.2.2. Далее по тексту административного регламента указанные категории граждан именуются "заявители".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1.2.3.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государственной услуги заявители могут обратиться в уполномоченный орган либо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7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информирования о предоставлении государственной услуги.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Pr="002E7C65">
        <w:rPr>
          <w:rFonts w:ascii="Times New Roman" w:hAnsi="Times New Roman" w:cs="Times New Roman"/>
          <w:lang w:val="en-US"/>
        </w:rPr>
        <w:t>luneva</w:t>
      </w:r>
      <w:proofErr w:type="spellEnd"/>
      <w:r w:rsidRPr="00F972ED">
        <w:rPr>
          <w:rFonts w:ascii="Times New Roman" w:hAnsi="Times New Roman" w:cs="Times New Roman"/>
        </w:rPr>
        <w:t>_</w:t>
      </w:r>
      <w:proofErr w:type="spellStart"/>
      <w:r w:rsidRPr="002E7C65">
        <w:rPr>
          <w:rFonts w:ascii="Times New Roman" w:hAnsi="Times New Roman" w:cs="Times New Roman"/>
          <w:lang w:val="en-US"/>
        </w:rPr>
        <w:t>ov</w:t>
      </w:r>
      <w:proofErr w:type="spellEnd"/>
      <w:r w:rsidRPr="00F972ED">
        <w:rPr>
          <w:rFonts w:ascii="Times New Roman" w:hAnsi="Times New Roman" w:cs="Times New Roman"/>
        </w:rPr>
        <w:t>@</w:t>
      </w:r>
      <w:proofErr w:type="spellStart"/>
      <w:r w:rsidRPr="002E7C65">
        <w:rPr>
          <w:rFonts w:ascii="Times New Roman" w:hAnsi="Times New Roman" w:cs="Times New Roman"/>
          <w:lang w:val="en-US"/>
        </w:rPr>
        <w:t>adm</w:t>
      </w:r>
      <w:proofErr w:type="spellEnd"/>
      <w:r w:rsidRPr="00F972ED">
        <w:rPr>
          <w:rFonts w:ascii="Times New Roman" w:hAnsi="Times New Roman" w:cs="Times New Roman"/>
        </w:rPr>
        <w:t>.</w:t>
      </w:r>
      <w:proofErr w:type="spellStart"/>
      <w:r w:rsidRPr="002E7C65">
        <w:rPr>
          <w:rFonts w:ascii="Times New Roman" w:hAnsi="Times New Roman" w:cs="Times New Roman"/>
          <w:lang w:val="en-US"/>
        </w:rPr>
        <w:t>kaluga</w:t>
      </w:r>
      <w:proofErr w:type="spellEnd"/>
      <w:r w:rsidRPr="00F972ED">
        <w:rPr>
          <w:rFonts w:ascii="Times New Roman" w:hAnsi="Times New Roman" w:cs="Times New Roman"/>
        </w:rPr>
        <w:t>.</w:t>
      </w:r>
      <w:proofErr w:type="spellStart"/>
      <w:r w:rsidRPr="002E7C65">
        <w:rPr>
          <w:rFonts w:ascii="Times New Roman" w:hAnsi="Times New Roman" w:cs="Times New Roman"/>
          <w:lang w:val="en-US"/>
        </w:rPr>
        <w:t>ru</w:t>
      </w:r>
      <w:proofErr w:type="spellEnd"/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многофункциональном центре при личном обращении, при обращении по телефону горячей линии многофункционального центра: 8-800-450-11-60 (звонок по России бесплатный) или на официальном сайте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размещена на официальном сайте 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админисрации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 (далее - Сайт), в федеральной государственной информационной системе "Единый портал государственных и муниципальных услуг (функций)"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www.gosuslugi.ru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Единый портал) и в региональной государственной информационной системе "Портал государственных и муниципальных услуг Калужской области" (</w:t>
      </w:r>
      <w:hyperlink r:id="rId9" w:tgtFrame="_blank" w:tooltip="&lt;div class=&quot;doc www&quot;&gt;&lt;span class=&quot;aligner&quot;&gt;&lt;div class=&quot;icon listDocWWW-16&quot;&gt;&lt;/div&gt;&lt;/span&gt;https://uslugika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https://uslugikalugi.ru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- Портал услуг Калужской области). </w:t>
      </w:r>
      <w:proofErr w:type="gramEnd"/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Едином портале, Портале услуг Калужской области и на Сайте размещена следующая информация: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расписание работы уполномоченного органа;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круг заявителей;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предоставления государственной услуги;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 предоставления государственной услуги;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примерная форма заявления на предоставление государственной услуги.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 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2. Стандарт предоставления государственной услуги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2.1. Наименование государственной услуги.</w:t>
      </w:r>
    </w:p>
    <w:p w:rsidR="00194C6D" w:rsidRPr="00194C6D" w:rsidRDefault="000D24DB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194C6D"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Выдача свидетельств о праве на меры социальной поддержки реабилитированных лиц и лиц, признанных пострада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вшими от политических репрессий»</w:t>
      </w:r>
      <w:r w:rsidR="00194C6D"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2.2. Наименование органа, предоставляющего государственную услугу.</w:t>
      </w:r>
    </w:p>
    <w:p w:rsidR="000D24DB" w:rsidRDefault="000D24DB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государственную услугу, является структурное подразделение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- отдел социальной защиты населения администрации МР «</w:t>
      </w:r>
      <w:proofErr w:type="spell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2.3. Описание результата предоставления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Конечным результатом предоставления государственной услуги являются: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выдача заявителю свидетельства о праве на меры социальной поддержки реабилитированных лиц и лиц, признанных пострадавшими от политических репрессий (далее - свидетельство);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письменное уведомление заявителя об отказе в выдаче свидетельства.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2.4. Срок принятия решения о предоставлении (либо об отказе в предоставлении)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о предоставлении (либо об отказе в предоставлении) государственной услуги принимается в 15-дневный срок со дня регистрации обращения заявителя.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Нормативные правовые акты, регулирующие предоставление государственной услуги: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Закон РФ от 18.10.1991 N 1761-1 "О реабилитации жертв политических репрессий";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Федеральный закон от 27.07.2010 N 210-ФЗ "Об организации предоставления государственных и муниципальных услуг";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Федеральный закон от 27.07.2006 N 152-ФЗ "О персональных данных";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Закон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Закон Калужской области от 30.12.2004 N 11-ОЗ "О мерах социальной поддержки реабилитированных лиц и лиц, признанных пострадавшими от политических репрессий";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постановление Правительства Калужской области от 09.08.2007 N 193 "Об установлении Порядка выдачи свидетельств о праве на меры социальной поддержки реабилитированных лиц и лиц, признанных пострадавшими от политических репрессий, а также описания и технических условий изготовления бланка свидетельства";</w:t>
      </w:r>
    </w:p>
    <w:p w:rsidR="00194C6D" w:rsidRPr="00194C6D" w:rsidRDefault="00194C6D" w:rsidP="000D24DB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0" w:history="1">
        <w:r w:rsidR="000D24DB" w:rsidRPr="00F972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="000D24DB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0D24DB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D24DB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D24DB" w:rsidRPr="0003104E" w:rsidRDefault="000D24DB" w:rsidP="000D24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Сайте, Едином портале, Портале услуг Калужской области. 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2" w:name="P100"/>
      <w:bookmarkEnd w:id="2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2.6.1. Для рассмотрения вопроса о предоставлении гражданину государственной услуги заявитель представляет в уполномоченный орган заявление по форме согласно приложению </w:t>
      </w:r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 и следующие необходимые документы (в подлинниках или копиях, заверенных в установленном порядке):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паспорт или иной документ, удостоверяющий личность;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документ о признании гражданина реабилитированным лицом или лицом, пострадавшим от политических репрессий, выданный органами прокуратуры или органами внутренних дел в установленном законодательством порядке (справка о реабилитации, справка о признании пострадавшим от политических репрессий, заключение о соответствии законодательству Российской Федерации документов о реабилитации или признании лиц пострадавшими от политических репрессий, выданных в государствах - бывших союзных республиках СССР);</w:t>
      </w:r>
      <w:proofErr w:type="gramEnd"/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пенсионное удостоверение;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4) фотографию размером 3 x 4 см.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если за получением государственной услуги обращается уполномоченный представитель, то представляются также документы, удостоверяющие его полномочия.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2.6.2. По усмотрению заявителя документы могут быть поданы: лично, через уполномоченного представителя, почтой или иным доступным для него способом.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2.6.3. При предоставлении государственной услуги уполномоченный орган не вправе требовать от заявителя: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Документов, запрашиваемых в рамках межведомственного взаимодействия для предоставления государственной услуги, нормативными правовыми актами не предусмотрено.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2.8. Основания для отказа в приеме документов, необходимых для предоставления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отказа в приеме документов, необходимых для предоставления государственной услуги, является наличие в документах поправок, приписок, подчисток.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 Основания для приостановления предоставления и (или) отказа в предоставлении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2.9.1. Оснований для приостановления предоставления государственной услуги не имеется.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P124"/>
      <w:bookmarkEnd w:id="3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2.9.2. В предоставлении государственной услуги отказывается в следующих случаях: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отсутствует полный комплект документов, необходимых для рассмотрения вопроса о предоставлении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заявитель не относится к категориям граждан, указанным в пункте 1.2.1 настоящего Административного регламента.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Плата за предоставление государственной услуги не взимается.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2.11. Максимальный срок ожидания в очереди при подаче заявления о предоставлении государственной услуги и получении результата предоставления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Максимальный срок (время) ожидания в очереди (при ее наличии) при подаче заявления о предоставлении государственной услуги и получении результата предоставления услуги - не более 15 минут.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2.12. Срок регистрации запроса заявителя о предоставлении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Регистрация заявления о предоставлении государственной услуги с документами, указанными в пункте 2.6.1 настоящего Административного регламента, поступившими в уполномоченный орган, осуществляется в срок не более 2-х рабочих дней.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2.13. Требования к помещениям, в которых предоставляется государственная услуга, к местам ожидания и приема заявителей, размещению и оформлению информации о порядке предоставления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ожидания в очереди на предоставление или получение документов оборудованы достаточным количеством сидячих мест.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2.14. Показатели доступности и качества государственной услуги.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Показателями доступности предоставления государственной услуги являются: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достаточный</w:t>
      </w:r>
      <w:proofErr w:type="gramEnd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/недостаточный);</w:t>
      </w:r>
    </w:p>
    <w:p w:rsid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доля получателей, получивших необходимые сведения о порядке предоставления государственной услуги через единый портал государственных и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муниципальных услуг (% по результатам опроса);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количество взаимодействий заявителя с муниципальными служащими при предоставлении государственной услуги - 2.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Показателями качества предоставления государственной услуги являются: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сроки предоставления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условия ожидания приема;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порядок информирования о предоставлении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внимание должностных лиц;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194C6D" w:rsidRPr="00194C6D" w:rsidRDefault="002B56A2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2.15. </w:t>
      </w:r>
      <w:r w:rsidR="00194C6D"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Требования к доступности и качеству государственной услуги: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различных каналов получения информации о предоставлении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записи в любые свободные для приема дату и время в пределах установленного в уполномоченном органе графика приема заявителей;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транспортная доступность мест предоставления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ожидания в очереди при предоставлении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предоставления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формирования запроса на предоставление государственной услуги в электронной форме с помощью Единого портала, Портала услуг Калужской области. </w:t>
      </w:r>
    </w:p>
    <w:p w:rsidR="00194C6D" w:rsidRDefault="002B56A2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2.16.</w:t>
      </w:r>
      <w:r w:rsidRPr="002B5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</w:p>
    <w:p w:rsidR="002B56A2" w:rsidRPr="00194C6D" w:rsidRDefault="002B56A2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3. Состав, последовательность и сроки выполнения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административных процедур, требования к порядку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их выполнения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3.1. Предоставление государственной услуги включает следующие административные процедуры: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1) прием и регистрацию заявления и документов, указанных в пункте 2.6.1 настоящего Административного регламента;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2) принятие решения о предоставлении государственной услуги либо об отказе в ее предоставлении;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выдачу гражданам свидетельства о праве на меры социальной поддержки реабилитированных лиц (лиц, признанных пострадавшими от политических репрессий)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 w:rsidR="002B56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Описание административных процедур.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 w:rsidR="002B56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.1. Прием и регистрация документов, указанных в пункте 2.6.1 настоящего Административного регламента.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в уполномоченный орган с документами, указанными в пункте 2.6.1 настоящего Административного регламента.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Специалист уполномоченного органа производит следующие действия: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проверяет наличие документов, указанных в пункте 2.6.1 настоящего Административного регламента, необходимых для предоставления государственной услуги, осуществляет их проверку на предмет соответствия действующему законодательству и наличия оснований для предоставления государственной услуги;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производит регистрацию заявления и документов, указанных в пункте 2.6.1 настоящего Административного регламента, в журнале регистрации заявлений и приема документов (приложение </w:t>
      </w:r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регламенту);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выдает расписку-уведомление о приеме (регистрации) заявления и документов.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 w:rsidR="002B56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.2. Принятие решения о предоставлении государственной услуги либо об отказе в ее предоставлении.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результат рассмотрения документов, указанных в пункте 2.6.1 настоящего Административного регламента.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Свидетельство выдается уполномоченным органом при наличии совокупности следующих требований: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1) заявитель, обратившийся в уполномоченный орган за предоставлением государственной услуги, относится к категориям граждан, указанным в пункте 1.2.1 настоящего Административного регламента;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2) в распоряжении уполномоченного органа имеется полный комплект 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документов, указанный в пункте 2.6.1 настоящего Административного регламента, необходимых для предоставления государственной услуги заявителю.</w:t>
      </w:r>
      <w:proofErr w:type="gramEnd"/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Основания для отказа в предоставлении государственной услуги перечислены в пункте 2.9.2 настоящего Административного регламента.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Решение о предоставлении государственной услуги либо об отказе в ее предоставлении принимается уполномоченным органом не позднее 15 дней со дня обращения заявителя с документами, указанными в пункте 2.6.1 настоящего Административного регламента. Решение доводится до сведения заявителя в письменной форме в 5-дневный срок со дня его принятия.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 w:rsidR="002B56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.3. Выдача гражданам свидетельства о праве на меры социальной поддержки реабилитированных лиц (лиц, признанных пострадавшими от политических репрессий)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отказа в предоставлении государственной услуги заявитель письменно извещается об этом в 5-дневный срок после принятия соответствующего решения с указанием правовых оснований отказа и разъяснением порядка его обжалования. Одновременно заявителю возвращаются все документы, которые были приложены к заявлению.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Свидетельство выдается заявителю уполномоченным органом под роспись в книге учета выдачи свидетельств о праве на меры социальной поддержки реабилитированных лиц и лиц, признанных пострадавшими от политических репрессий (приложение </w:t>
      </w:r>
      <w:r w:rsidR="007D7B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настоящему Административному регламенту).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Свидетельства, заполненные неправильно (неточно), уничтожаются уполномоченным органом, о чем составляется акт.</w:t>
      </w:r>
    </w:p>
    <w:p w:rsidR="00194C6D" w:rsidRPr="00194C6D" w:rsidRDefault="00194C6D" w:rsidP="00194C6D">
      <w:pPr>
        <w:widowControl w:val="0"/>
        <w:spacing w:before="220" w:after="1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случае утраты (порчи) свидетельства по заявлению заявителя выдается дубликат свидетельства. В заявлении указываются причины утраты (порчи) свидетельства, его серия, номер, кем и когда было выдано. В случае утраты (порчи) дубликата свидетельства в таком же порядке вновь выдается дубликат свидетельства и в левой части дубликата свидетельства ставится штамп "Дубликат N" с указанием соответствующего номера дубликата.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4. Формы </w:t>
      </w:r>
      <w:proofErr w:type="gramStart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контроля за</w:t>
      </w:r>
      <w:proofErr w:type="gramEnd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предоставлением государственной услуги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Периодичность осуществления контроля устанавливается руководителем уполномоченного органа.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Требования к порядку и формам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 с использованием сети Интернет).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портала, Портала услуг Калужской области.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" w:name="P201"/>
      <w:bookmarkEnd w:id="4"/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5. Досудебное (внесудебное) обжалование заявителем решений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 действий (бездействия) уполномоченного органа,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должностного лица либо муниципального служащего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94C6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уполномоченного органа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5.1.1. Заявитель может обратиться с жалобой, в том числе в следующих случаях: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государственной услуги, у заявителя;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нарушение срока или порядка выдачи документов по результатам предоставления государственной услуги;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 части 1 статьи 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услуг".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Общие требования к порядку подачи и рассмотрения жалобы.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5.2.1. Жалоба подается в письменной форме на бумажном носителе, в электронной форме в уполномоченный орган, многофункциональный центр.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подается заявителем в следующих случаях: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обжалуются решения, действия (бездействие) уполномоченного органа, его руководителя и муниципальных служащих.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 Единого портала и Портала услуг Калужской области (</w:t>
      </w:r>
      <w:hyperlink r:id="rId12" w:tgtFrame="_blank" w:tooltip="&lt;div class=&quot;doc www&quot;&gt;&lt;span class=&quot;aligner&quot;&gt;&lt;div class=&quot;icon listDocWWW-16&quot;&gt;&lt;/div&gt;&lt;/span&gt;https://do.gosuslugi.ru&lt;/div&gt;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https://do.gosuslugi.ru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может быть принята при личном приеме заявителя.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5.2.3. Жалоба должна содержать: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 По результатам рассмотрения жалобы принимается одно из следующих решений: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неудобства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5.2.6. В случае установления в ходе или по результатам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B56A2" w:rsidRPr="0003104E" w:rsidRDefault="002B56A2" w:rsidP="002B5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2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 5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не применяется. </w:t>
      </w:r>
    </w:p>
    <w:p w:rsidR="003D19AC" w:rsidRDefault="002B56A2" w:rsidP="003D1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5.2.8.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 </w:t>
      </w:r>
      <w:proofErr w:type="gramEnd"/>
    </w:p>
    <w:p w:rsidR="00194C6D" w:rsidRPr="003D19AC" w:rsidRDefault="00194C6D" w:rsidP="00194C6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Приложение </w:t>
      </w:r>
      <w:r w:rsidR="007D7BF0" w:rsidRPr="003D19AC">
        <w:rPr>
          <w:rFonts w:ascii="Times New Roman" w:eastAsia="Calibri" w:hAnsi="Times New Roman" w:cs="Times New Roman"/>
          <w:color w:val="000000"/>
          <w:lang w:eastAsia="ru-RU"/>
        </w:rPr>
        <w:t>1</w:t>
      </w:r>
    </w:p>
    <w:p w:rsidR="00194C6D" w:rsidRPr="003D19AC" w:rsidRDefault="00194C6D" w:rsidP="00194C6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к Административному регламенту</w:t>
      </w:r>
    </w:p>
    <w:p w:rsidR="00194C6D" w:rsidRPr="003D19AC" w:rsidRDefault="00194C6D" w:rsidP="00194C6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предоставления государственной услуги</w:t>
      </w:r>
    </w:p>
    <w:p w:rsidR="00194C6D" w:rsidRPr="003D19AC" w:rsidRDefault="00194C6D" w:rsidP="00194C6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"Выдача свидетельств о праве на меры</w:t>
      </w:r>
    </w:p>
    <w:p w:rsidR="00194C6D" w:rsidRPr="003D19AC" w:rsidRDefault="00194C6D" w:rsidP="00194C6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социальной поддержки реабилитированных лиц</w:t>
      </w:r>
    </w:p>
    <w:p w:rsidR="00194C6D" w:rsidRPr="003D19AC" w:rsidRDefault="00194C6D" w:rsidP="00194C6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и лиц, признанных пострадавшими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3D19AC">
        <w:rPr>
          <w:rFonts w:ascii="Times New Roman" w:eastAsia="Calibri" w:hAnsi="Times New Roman" w:cs="Times New Roman"/>
          <w:color w:val="000000"/>
          <w:lang w:eastAsia="ru-RU"/>
        </w:rPr>
        <w:t>от политических репрессий</w:t>
      </w:r>
      <w:r w:rsidRPr="00194C6D">
        <w:rPr>
          <w:rFonts w:ascii="Calibri" w:eastAsia="Calibri" w:hAnsi="Calibri" w:cs="Calibri"/>
          <w:color w:val="000000"/>
          <w:lang w:eastAsia="ru-RU"/>
        </w:rPr>
        <w:t>"</w:t>
      </w:r>
    </w:p>
    <w:p w:rsidR="00194C6D" w:rsidRPr="00194C6D" w:rsidRDefault="00194C6D" w:rsidP="00194C6D">
      <w:pPr>
        <w:widowControl w:val="0"/>
        <w:spacing w:after="1" w:line="240" w:lineRule="auto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Руководителю 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(наименование уполномоченного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     органа)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от __________________________________________,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(полностью фамилия, имя, отчество)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          (дата и год рождения)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проживающего: 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_____________________________________________,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контактный телефон 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bookmarkStart w:id="5" w:name="P318"/>
      <w:bookmarkEnd w:id="5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     ЗАЯВЛЕНИЕ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Прошу  выдать  мне  свидетельство  о праве на меры социальной поддержки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реабилитированных  лиц  (свидетельство о праве на меры социальной поддержки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лиц, признанных пострадавшими от политических репрессий).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Представляю следующие документы: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1. Паспорт: серия ________ N ___________,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(кем и когда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2.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  о  признании  гражданина  реабилитированным лицом (лицом,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пострадавшим  от политических репрессий),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выданный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органами Внутренних дел,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органами прокуратуры в установленном порядке и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подтверждающий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основания для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получения свидетельства: __________________________________________________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(справка  о  реабилитации, справка о признании пострадавшим от политических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репрессий,  заключение о соответствии законодательству Российской Федерации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документов  о  реабилитации или признании лиц пострадавшими от политических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репрессий, выданных в государствах - бывших союзных республиках СССР)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  (кем и когда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3. Пенсионное удостоверение.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Ксерокопии названных документов прилагаются.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4. Фотографию размером 3 x 4 см.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В   соответствии   с  требованиями  Федерального  закона  от 27.07.2006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N   152-ФЗ   "О  персональных  данных"  в  целях  оформления  и  выдачи мне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свидетельства  о  праве  на меры социальной поддержки реабилитированных лиц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(свидетельства  о  праве  на  меры  социальной  поддержки  лиц,  признанных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пострадавшими от политических репрессий) даю согласие управлению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социальной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защиты  города Калуги, расположенному по адресу: г. Калуга, ул. Московская,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д.  188,  на обработку моих персональных данных, указанных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представленных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мною   </w:t>
      </w: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документах</w:t>
      </w:r>
      <w:proofErr w:type="gramEnd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.   Согласие  даю  на  сбор,  систематизацию,  накопление,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хранение,  уточнение  (обновление,  изменение),  а  также на обезличивание,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блокирование, уничтожение моих персональных данных.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Данное   согласие   действует   на   период  оформления  и  выдачи  мне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свидетельства  о  праве  на меры социальной поддержки реабилитированных лиц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(свидетельства  о  праве  на  меры  социальной  поддержки  лиц,  признанных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пострадавшими  от  политических репрессий), а в части хранения персональных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данных  -  также  в  течение  пяти  лет  после выдачи свидетельства. Данное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согласие может быть мною отозвано письменным заявлением.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        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(дата)                         (подпись)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Решение о выдаче свидетельства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Свидетельство   о   праве   на   меры   социальной   поддержки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proofErr w:type="gramStart"/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реабилитированных  лиц  (свидетельство  о праве на меры социальной</w:t>
      </w:r>
      <w:proofErr w:type="gramEnd"/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поддержки лиц, признанных пострадавшими от политических репрессий)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выдано: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(серия, номер, дата выдачи)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>_________________________________   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(подпись уполномоченного должностного лица)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                         Расписка-уведомление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lang w:eastAsia="ru-RU"/>
        </w:rPr>
      </w:pPr>
      <w:r w:rsidRPr="00194C6D">
        <w:rPr>
          <w:rFonts w:ascii="Courier New" w:eastAsia="Calibri" w:hAnsi="Courier New" w:cs="Courier New"/>
          <w:color w:val="000000"/>
          <w:sz w:val="20"/>
          <w:lang w:eastAsia="ru-RU"/>
        </w:rPr>
        <w:t xml:space="preserve"> Заявление и др. документы гр. ___________________________________________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005"/>
        <w:gridCol w:w="2835"/>
      </w:tblGrid>
      <w:tr w:rsidR="00194C6D" w:rsidRPr="00194C6D" w:rsidTr="003D19AC"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Принял</w:t>
            </w:r>
          </w:p>
        </w:tc>
      </w:tr>
      <w:tr w:rsidR="00194C6D" w:rsidRPr="00194C6D" w:rsidTr="003D19AC"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Дата приема заявления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Calibri" w:eastAsia="Calibri" w:hAnsi="Calibri" w:cs="Calibri"/>
                <w:color w:val="000000"/>
                <w:lang w:eastAsia="ru-RU"/>
              </w:rPr>
              <w:t>Подпись специалиста</w:t>
            </w:r>
          </w:p>
        </w:tc>
      </w:tr>
      <w:tr w:rsidR="00194C6D" w:rsidRPr="00194C6D" w:rsidTr="003D19AC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194C6D" w:rsidRPr="00194C6D" w:rsidTr="003D19AC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3D19AC" w:rsidRPr="00194C6D" w:rsidRDefault="003D19AC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right"/>
        <w:outlineLvl w:val="1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lastRenderedPageBreak/>
        <w:t xml:space="preserve">Приложение </w:t>
      </w:r>
      <w:r w:rsidR="007D7BF0">
        <w:rPr>
          <w:rFonts w:ascii="Times New Roman" w:eastAsia="Calibri" w:hAnsi="Times New Roman" w:cs="Calibri"/>
          <w:color w:val="000000"/>
          <w:lang w:eastAsia="ru-RU"/>
        </w:rPr>
        <w:t>2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к Административному регламенту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предоставления государственной услуги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"Выдача свидетельств о праве на меры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социальной поддержки реабилитированных лиц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и лиц, признанных пострадавшими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от политических репрессий"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6" w:name="P400"/>
      <w:bookmarkEnd w:id="6"/>
      <w:r w:rsidRPr="00194C6D">
        <w:rPr>
          <w:rFonts w:ascii="Times New Roman" w:eastAsia="Calibri" w:hAnsi="Times New Roman" w:cs="Calibri"/>
          <w:color w:val="000000"/>
          <w:lang w:eastAsia="ru-RU"/>
        </w:rPr>
        <w:t>ЖУРНАЛ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РЕГИСТРАЦИИ ЗАЯВЛЕНИЙ И ПРИЕМА ДОКУМЕНТОВ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1363"/>
        <w:gridCol w:w="1644"/>
        <w:gridCol w:w="2155"/>
        <w:gridCol w:w="1926"/>
      </w:tblGrid>
      <w:tr w:rsidR="00194C6D" w:rsidRPr="00194C6D" w:rsidTr="003D19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N </w:t>
            </w:r>
            <w:proofErr w:type="gramStart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</w:t>
            </w:r>
            <w:proofErr w:type="gramEnd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Дата обращения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Ф.И.О. заявителя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Адрес места жительства заявителя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Количество представленных документов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Подпись лица в получении документов</w:t>
            </w:r>
          </w:p>
        </w:tc>
      </w:tr>
      <w:tr w:rsidR="00194C6D" w:rsidRPr="00194C6D" w:rsidTr="003D19A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</w:tr>
    </w:tbl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7D7BF0" w:rsidRDefault="007D7BF0" w:rsidP="00194C6D">
      <w:pPr>
        <w:widowControl w:val="0"/>
        <w:spacing w:after="0" w:line="240" w:lineRule="auto"/>
        <w:jc w:val="right"/>
        <w:outlineLvl w:val="1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right"/>
        <w:outlineLvl w:val="1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lastRenderedPageBreak/>
        <w:t xml:space="preserve">Приложение </w:t>
      </w:r>
      <w:r w:rsidR="007D7BF0">
        <w:rPr>
          <w:rFonts w:ascii="Times New Roman" w:eastAsia="Calibri" w:hAnsi="Times New Roman" w:cs="Calibri"/>
          <w:color w:val="000000"/>
          <w:lang w:eastAsia="ru-RU"/>
        </w:rPr>
        <w:t>3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к Административному регламенту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предоставления государственной услуги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"Выдача свидетельств о праве на меры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социальной поддержки реабилитированных лиц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и лиц, признанных пострадавшими</w:t>
      </w:r>
    </w:p>
    <w:p w:rsidR="00194C6D" w:rsidRPr="00194C6D" w:rsidRDefault="00194C6D" w:rsidP="00194C6D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от политических репрессий"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7" w:name="P428"/>
      <w:bookmarkEnd w:id="7"/>
      <w:r w:rsidRPr="00194C6D">
        <w:rPr>
          <w:rFonts w:ascii="Times New Roman" w:eastAsia="Calibri" w:hAnsi="Times New Roman" w:cs="Calibri"/>
          <w:color w:val="000000"/>
          <w:lang w:eastAsia="ru-RU"/>
        </w:rPr>
        <w:t>КНИГА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УЧЕТА ВЫДАЧИ СВИДЕТЕЛЬСТВ О ПРАВЕ НА МЕРЫ СОЦИАЛЬНОЙ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ПОДДЕРЖКИ РЕАБИЛИТИРОВАННЫХ ЛИЦ И ЛИЦ, ПРИЗНАННЫХ</w:t>
      </w:r>
    </w:p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94C6D">
        <w:rPr>
          <w:rFonts w:ascii="Times New Roman" w:eastAsia="Calibri" w:hAnsi="Times New Roman" w:cs="Calibri"/>
          <w:color w:val="000000"/>
          <w:lang w:eastAsia="ru-RU"/>
        </w:rPr>
        <w:t>ПОСТРАДАВШИМИ ОТ ПОЛИТИЧЕСКИХ РЕПРЕССИЙ</w:t>
      </w:r>
    </w:p>
    <w:p w:rsidR="00194C6D" w:rsidRPr="00194C6D" w:rsidRDefault="00194C6D" w:rsidP="00194C6D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lang w:eastAsia="ru-RU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2035"/>
        <w:gridCol w:w="1241"/>
        <w:gridCol w:w="1369"/>
        <w:gridCol w:w="1617"/>
        <w:gridCol w:w="1453"/>
        <w:gridCol w:w="1465"/>
      </w:tblGrid>
      <w:tr w:rsidR="00194C6D" w:rsidRPr="00194C6D" w:rsidTr="003D19A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N </w:t>
            </w:r>
            <w:proofErr w:type="gramStart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</w:t>
            </w:r>
            <w:proofErr w:type="gramEnd"/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Фамилия, имя, отчество лица, которому выдано свидетельство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Место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Серия и номер свидетельства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Дата выдачи свидетельства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Личная подпись лица, которому выдано свидетельство</w:t>
            </w:r>
          </w:p>
        </w:tc>
      </w:tr>
      <w:tr w:rsidR="00194C6D" w:rsidRPr="00194C6D" w:rsidTr="003D19A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C6D" w:rsidRPr="00194C6D" w:rsidRDefault="00194C6D" w:rsidP="00194C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C6D">
              <w:rPr>
                <w:rFonts w:ascii="Times New Roman" w:eastAsia="Calibri" w:hAnsi="Times New Roman" w:cs="Calibri"/>
                <w:color w:val="000000"/>
                <w:lang w:eastAsia="ru-RU"/>
              </w:rPr>
              <w:t>7</w:t>
            </w:r>
          </w:p>
        </w:tc>
      </w:tr>
    </w:tbl>
    <w:p w:rsidR="00194C6D" w:rsidRPr="00194C6D" w:rsidRDefault="00194C6D" w:rsidP="00194C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4C6D" w:rsidRDefault="00194C6D" w:rsidP="00194C6D">
      <w:pPr>
        <w:jc w:val="both"/>
      </w:pPr>
    </w:p>
    <w:sectPr w:rsidR="0019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D"/>
    <w:rsid w:val="000D24DB"/>
    <w:rsid w:val="00150A11"/>
    <w:rsid w:val="00194C6D"/>
    <w:rsid w:val="002B56A2"/>
    <w:rsid w:val="003D19AC"/>
    <w:rsid w:val="00763F7C"/>
    <w:rsid w:val="007D7BF0"/>
    <w:rsid w:val="00A039B4"/>
    <w:rsid w:val="00AF6634"/>
    <w:rsid w:val="00B70EEF"/>
    <w:rsid w:val="00BE4AF3"/>
    <w:rsid w:val="00C1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ate=16.05.2023" TargetMode="External"/><Relationship Id="rId12" Type="http://schemas.openxmlformats.org/officeDocument/2006/relationships/hyperlink" Target="https://do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1321&amp;dst=994&amp;field=134&amp;date=16.05.2023" TargetMode="External"/><Relationship Id="rId11" Type="http://schemas.openxmlformats.org/officeDocument/2006/relationships/hyperlink" Target="https://login.consultant.ru/link/?req=doc&amp;base=LAW&amp;n=430635&amp;dst=290&amp;field=134&amp;date=16.05.202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37&amp;n=144896&amp;date=16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lugika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6</cp:revision>
  <cp:lastPrinted>2023-05-29T07:10:00Z</cp:lastPrinted>
  <dcterms:created xsi:type="dcterms:W3CDTF">2023-05-23T08:15:00Z</dcterms:created>
  <dcterms:modified xsi:type="dcterms:W3CDTF">2023-06-01T08:11:00Z</dcterms:modified>
</cp:coreProperties>
</file>