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D" w:rsidRPr="002B7244" w:rsidRDefault="00DB683D" w:rsidP="00DB683D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ABBDBB4" wp14:editId="23E8666D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3D" w:rsidRPr="002B7244" w:rsidRDefault="00DB683D" w:rsidP="00DB683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DB683D" w:rsidRPr="002B7244" w:rsidRDefault="00DB683D" w:rsidP="00DB683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DB683D" w:rsidRPr="002B7244" w:rsidRDefault="00DB683D" w:rsidP="00DB683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DB683D" w:rsidRPr="002B7244" w:rsidRDefault="00DB683D" w:rsidP="00DB683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DB683D" w:rsidRPr="002B7244" w:rsidRDefault="00DB683D" w:rsidP="00DB683D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П</w:t>
      </w:r>
      <w:proofErr w:type="gramEnd"/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О С Т А Н О В Л Е Н И Е</w:t>
      </w:r>
    </w:p>
    <w:p w:rsidR="00DB683D" w:rsidRPr="002B7244" w:rsidRDefault="00DB683D" w:rsidP="00DB68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83D" w:rsidRPr="002B7244" w:rsidRDefault="00DB683D" w:rsidP="00DB68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E0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E0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2023г.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E0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332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B683D" w:rsidRPr="002B7244" w:rsidRDefault="00DB683D" w:rsidP="00DB68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</w:t>
      </w: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регламента</w:t>
      </w:r>
    </w:p>
    <w:p w:rsidR="00DB683D" w:rsidRDefault="00DB683D" w:rsidP="00DB6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п</w:t>
      </w: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редоставлению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2B7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услуги </w:t>
      </w:r>
    </w:p>
    <w:p w:rsidR="00DB683D" w:rsidRDefault="00DB683D" w:rsidP="00DB683D">
      <w:pPr>
        <w:spacing w:after="0" w:line="240" w:lineRule="auto"/>
        <w:ind w:right="69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Выдача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свидетельств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праве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меры социальной</w:t>
      </w:r>
      <w:proofErr w:type="gramEnd"/>
    </w:p>
    <w:p w:rsidR="00DB683D" w:rsidRDefault="00DB683D" w:rsidP="00DB683D">
      <w:pPr>
        <w:spacing w:after="0" w:line="240" w:lineRule="auto"/>
        <w:ind w:right="69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поддержки реабилитированных лиц и лиц, признанных </w:t>
      </w:r>
    </w:p>
    <w:p w:rsidR="00DB683D" w:rsidRPr="0003104E" w:rsidRDefault="00DB683D" w:rsidP="00DB683D">
      <w:pPr>
        <w:spacing w:after="0" w:line="240" w:lineRule="auto"/>
        <w:ind w:right="691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пострадавшими от политических репрессий</w:t>
      </w:r>
      <w:r w:rsidRPr="0003104E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DB683D" w:rsidRPr="002B7244" w:rsidRDefault="00DB683D" w:rsidP="00DB68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DB683D" w:rsidRPr="00885A31" w:rsidRDefault="00DB683D" w:rsidP="00DB6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A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4A409C">
        <w:rPr>
          <w:rFonts w:ascii="Times New Roman" w:hAnsi="Times New Roman" w:cs="Times New Roman"/>
          <w:color w:val="000000"/>
          <w:sz w:val="26"/>
          <w:szCs w:val="26"/>
        </w:rPr>
        <w:t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от 16.05.2011 № 373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036B4">
        <w:rPr>
          <w:rFonts w:ascii="Times New Roman" w:hAnsi="Times New Roman" w:cs="Times New Roman"/>
          <w:color w:val="000000"/>
          <w:sz w:val="26"/>
          <w:szCs w:val="2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Калужской области от 26.09.2005 № 120-ОЗ «О наделении органов местного</w:t>
      </w:r>
      <w:proofErr w:type="gram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муниципальных районов и городских округов Калужской области отдельными государственными полномочиями»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принимая во внимание, что проект административного регламента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 предоставлению государственной  услуги   </w:t>
      </w:r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Выдача свидетельств о праве на меры социальной поддержки реабилитированных лиц и лиц, признанных пострадавшими от политических репрессий</w:t>
      </w:r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МР «</w:t>
      </w:r>
      <w:proofErr w:type="spell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-р, был размещен 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на официальном сайте МР «</w:t>
      </w:r>
      <w:proofErr w:type="spell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 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29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05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3г.,</w:t>
      </w:r>
      <w:r w:rsidRPr="00B50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  <w:proofErr w:type="gramEnd"/>
    </w:p>
    <w:p w:rsidR="00DB683D" w:rsidRPr="00E249D6" w:rsidRDefault="00DB683D" w:rsidP="00DB68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83D" w:rsidRPr="00A521ED" w:rsidRDefault="00DB683D" w:rsidP="00DB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административн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Выдача свидетельств о праве на меры социальной поддержки реабилитированных лиц и лиц, признанных пострадавшими от политических репрессий</w:t>
      </w:r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A521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DB683D" w:rsidRPr="00A521ED" w:rsidRDefault="00DB683D" w:rsidP="00DB68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</w:t>
      </w:r>
      <w:proofErr w:type="gram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подлежит размещению на официальных сайтах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район»: </w:t>
      </w:r>
      <w:r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www.admduminichi.ru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minichi-r40.gosweb.gosuslugi.ru 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B683D" w:rsidRPr="00A521ED" w:rsidRDefault="00DB683D" w:rsidP="00DB68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возложить на заместителя Главы администрации МР «</w:t>
      </w:r>
      <w:proofErr w:type="spell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DB683D" w:rsidRDefault="00DB683D" w:rsidP="00DB68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83D" w:rsidRDefault="00DB683D" w:rsidP="00DB683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proofErr w:type="spellStart"/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Булыгин</w:t>
      </w:r>
      <w:proofErr w:type="spellEnd"/>
    </w:p>
    <w:p w:rsidR="00DB683D" w:rsidRDefault="00DB683D" w:rsidP="00DB683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DB683D" w:rsidRPr="0003104E" w:rsidRDefault="00DB683D" w:rsidP="00DB683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к 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постановлению</w:t>
      </w: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B683D" w:rsidRPr="0003104E" w:rsidRDefault="00DB683D" w:rsidP="00DB683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администрации МР «</w:t>
      </w:r>
      <w:proofErr w:type="spellStart"/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Думиничский</w:t>
      </w:r>
      <w:proofErr w:type="spellEnd"/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район» </w:t>
      </w:r>
    </w:p>
    <w:p w:rsidR="00DB683D" w:rsidRPr="00B70EEF" w:rsidRDefault="00DB683D" w:rsidP="00DB683D">
      <w:pPr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9E0B4A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30.06.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г. №</w:t>
      </w:r>
      <w:r w:rsidR="009E0B4A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332</w:t>
      </w:r>
      <w:bookmarkStart w:id="0" w:name="_GoBack"/>
      <w:bookmarkEnd w:id="0"/>
    </w:p>
    <w:p w:rsidR="00DB683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АДМИНИСТРАТИВНЫЙ РЕГЛАМЕНТ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ПРЕДОСТАВЛЕНИЯ ГОСУДАРСТВЕННОЙ УСЛУГИ 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«ВЫДАЧА СВИДЕТЕЛЬСТВ О ПРАВЕ НА МЕРЫ СОЦИАЛЬНОЙ ПОДДЕРЖКИ РЕАБИЛИТИРОВАННЫХ ЛИЦ И ЛИЦ, ПРИЗНАННЫХ ПОСТРАДАВШИМИ ОТ ПОЛИТИЧЕСКИХ РЕПРЕССИЙ»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1.1. Предмет регулирования административного регламента предоставления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 государственной услуги «Выдача свидетельств о праве на меры социальной поддержки реабилитированных лиц и лиц, признанных пострадавшими от политических репрессий» (далее - административный регламент) разработан в целях повышения качества предоставления и доступности результатов исполнения государственной услуги по выдаче свидетельств о праве на меры социальной поддержки реабилитированных лиц и лиц, признанных пострадавшими от политических репрессий, и определяет последовательность действий (далее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- административные процедуры) при осуществлении полномочий по выдаче свидетельств о праве на меры социальной поддержки реабилитированных лиц и лиц, признанных пострадавшими от политических репрессий.</w:t>
      </w:r>
    </w:p>
    <w:p w:rsidR="00DB683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Предоставление государственной услуги «Выдача свидетельств о праве на меры социальной поддержки реабилитированных лиц и лиц, признанных пострадавшими от политических репрессий» (далее - государственная услуга) на территории муниципального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района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район»,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социальной защиты населения администрации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переданных полномочий в соответствии с </w:t>
      </w:r>
      <w:hyperlink r:id="rId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от 26.09.2005 N 120-ОЗ «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наделении органов местного самоуправления муниципальных районов и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городских округов Калужской области отдельным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государственными полномочиями»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Министерство труда и социальной защиты Калужской области контролирует деятельность уполномоченного органа по предоставлению государственной услуги (далее - министерство).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1.2. Описание заявителей.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P55"/>
      <w:bookmarkEnd w:id="1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1.2.1. </w:t>
      </w: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Заявителями являются граждане Российской Федерации, проживающие на территории муниципального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района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район»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имеющие документ о признании гражданина реабилитированным лицом или лицом, пострадавшим от политических репрессий, выданный органами прокуратуры или органами внутренних дел в установленном законодательством порядке (справку о реабилитации, справку о признании пострадавшим от политических репрессий, заключение о соответствии законодательству Российской Федерации документов о реабилитации или признании лиц пострадавшими от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политических репрессий, 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выданных в государствах - бывших союзных республиках СССР), а также их уполномоченные представители, обратившиеся в уполномоченный орган за предоставлением государственной услуги.</w:t>
      </w:r>
    </w:p>
    <w:p w:rsidR="00DB683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1.2.2. Далее по тексту административного регламента указанные категории граждан именуются "заявители".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1.2.3.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предоставлением государственной услуги заявители могут обратиться в уполномоченный орган либо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7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информирования о предоставлении государственной услуги.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Pr="002E7C65">
        <w:rPr>
          <w:rFonts w:ascii="Times New Roman" w:hAnsi="Times New Roman" w:cs="Times New Roman"/>
          <w:lang w:val="en-US"/>
        </w:rPr>
        <w:t>luneva</w:t>
      </w:r>
      <w:proofErr w:type="spellEnd"/>
      <w:r w:rsidRPr="00F972ED">
        <w:rPr>
          <w:rFonts w:ascii="Times New Roman" w:hAnsi="Times New Roman" w:cs="Times New Roman"/>
        </w:rPr>
        <w:t>_</w:t>
      </w:r>
      <w:proofErr w:type="spellStart"/>
      <w:r w:rsidRPr="002E7C65">
        <w:rPr>
          <w:rFonts w:ascii="Times New Roman" w:hAnsi="Times New Roman" w:cs="Times New Roman"/>
          <w:lang w:val="en-US"/>
        </w:rPr>
        <w:t>ov</w:t>
      </w:r>
      <w:proofErr w:type="spellEnd"/>
      <w:r w:rsidRPr="00F972ED">
        <w:rPr>
          <w:rFonts w:ascii="Times New Roman" w:hAnsi="Times New Roman" w:cs="Times New Roman"/>
        </w:rPr>
        <w:t>@</w:t>
      </w:r>
      <w:proofErr w:type="spellStart"/>
      <w:r w:rsidRPr="002E7C65">
        <w:rPr>
          <w:rFonts w:ascii="Times New Roman" w:hAnsi="Times New Roman" w:cs="Times New Roman"/>
          <w:lang w:val="en-US"/>
        </w:rPr>
        <w:t>adm</w:t>
      </w:r>
      <w:proofErr w:type="spellEnd"/>
      <w:r w:rsidRPr="00F972ED">
        <w:rPr>
          <w:rFonts w:ascii="Times New Roman" w:hAnsi="Times New Roman" w:cs="Times New Roman"/>
        </w:rPr>
        <w:t>.</w:t>
      </w:r>
      <w:proofErr w:type="spellStart"/>
      <w:r w:rsidRPr="002E7C65">
        <w:rPr>
          <w:rFonts w:ascii="Times New Roman" w:hAnsi="Times New Roman" w:cs="Times New Roman"/>
          <w:lang w:val="en-US"/>
        </w:rPr>
        <w:t>kaluga</w:t>
      </w:r>
      <w:proofErr w:type="spellEnd"/>
      <w:r w:rsidRPr="00F972ED">
        <w:rPr>
          <w:rFonts w:ascii="Times New Roman" w:hAnsi="Times New Roman" w:cs="Times New Roman"/>
        </w:rPr>
        <w:t>.</w:t>
      </w:r>
      <w:proofErr w:type="spellStart"/>
      <w:r w:rsidRPr="002E7C65">
        <w:rPr>
          <w:rFonts w:ascii="Times New Roman" w:hAnsi="Times New Roman" w:cs="Times New Roman"/>
          <w:lang w:val="en-US"/>
        </w:rPr>
        <w:t>ru</w:t>
      </w:r>
      <w:proofErr w:type="spellEnd"/>
      <w:r w:rsidRPr="00484C8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многофункциональном центре при личном обращении, при обращении по телефону горячей линии многофункционального центра: 8-800-450-11-60 (звонок по России бесплатный) или на официальном сайте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Pr="00484C8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размещена на официальном сайте </w:t>
      </w:r>
      <w:proofErr w:type="spell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админисрации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proofErr w:type="spell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район" (далее - Сайт), в федеральной государственной информационной системе "Единый портал государственных и муниципальных услуг (функций)" (</w:t>
      </w:r>
      <w:hyperlink r:id="rId8" w:tgtFrame="_blank" w:tooltip="&lt;div class=&quot;doc www&quot;&gt;&lt;span class=&quot;aligner&quot;&gt;&lt;div class=&quot;icon listDocWWW-16&quot;&gt;&lt;/div&gt;&lt;/span&gt;www.gosuslugi.ru&lt;/div&gt;" w:history="1">
        <w:r w:rsidRPr="00F972E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www.gosuslugi.ru</w:t>
        </w:r>
      </w:hyperlink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- Единый портал) и в региональной государственной информационной системе "Портал государственных и муниципальных услуг Калужской области" (</w:t>
      </w:r>
      <w:hyperlink r:id="rId9" w:tgtFrame="_blank" w:tooltip="&lt;div class=&quot;doc www&quot;&gt;&lt;span class=&quot;aligner&quot;&gt;&lt;div class=&quot;icon listDocWWW-16&quot;&gt;&lt;/div&gt;&lt;/span&gt;https://uslugikalugi.ru&lt;/div&gt;" w:history="1">
        <w:r w:rsidRPr="00F972E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https://uslugikalugi.ru</w:t>
        </w:r>
      </w:hyperlink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(далее - Портал услуг Калужской области).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Едином портале, Портале услуг Калужской области и на Сайте размещена следующая информация: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расписание работы уполномоченного органа;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круг заявителей;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предоставления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 предоставления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исчерпывающий перечень оснований для приостановления или отказа в предоставлении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примерная форма заявления на предоставление государственной услуги.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и сроках предоставления государственной услуги на Сайте, Едином портале, Портале услуг Калужской области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 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2. Стандарт предоставления государственной услуги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2.1. Наименование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Выдача свидетельств о праве на меры социальной поддержки реабилитированных лиц и лиц, признанных пострада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вшими от политических репрессий»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2.2. Наименование органа, предоставляющего государственную услугу.</w:t>
      </w:r>
    </w:p>
    <w:p w:rsidR="00DB683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предоставляющим государственную услугу, является структурное подразделение администрации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уминичский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- отдел социальной защиты населения администрации МР «</w:t>
      </w:r>
      <w:proofErr w:type="spell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 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2.3. Описание результата предоставления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Конечным результатом предоставления государственной услуги являются: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выдача заявителю свидетельства о праве на меры социальной поддержки реабилитированных лиц и лиц, признанных пострадавшими от политических репрессий (далее - свидетельство);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письменное уведомление заявителя об отказе в выдаче свидетельства.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2.4. Срок принятия решения о предоставлении (либо об отказе в предоставлении)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Решение о предоставлении (либо об отказе в предоставлении) государственной услуги принимается в 15-дневный срок со дня регистрации обращения заявителя.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2.5. Перечень нормативных правовых актов, непосредственно регулирующих предоставление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Нормативные правовые акты, регулирующие предоставление государственной услуги: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Закон РФ от 18.10.1991 N 1761-1 "О реабилитации жертв политических репрессий";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Федеральный закон от 27.07.2010 N 210-ФЗ "Об организации предоставления государственных и муниципальных услуг";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Федеральный закон от 27.07.2006 N 152-ФЗ "О персональных данных";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- Закон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Закон Калужской области от 30.12.2004 N 11-ОЗ "О мерах социальной поддержки реабилитированных лиц и лиц, признанных пострадавшими от политических репрессий";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постановление Правительства Калужской области от 09.08.2007 N 193 "Об установлении Порядка выдачи свидетельств о праве на меры социальной поддержки реабилитированных лиц и лиц, признанных пострадавшими от политических репрессий, а также описания и технических условий изготовления бланка свидетельства";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10" w:history="1">
        <w:r w:rsidRPr="00F972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</w:t>
        </w:r>
      </w:hyperlink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</w:t>
      </w:r>
      <w:proofErr w:type="spell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государственной услуги, размещен на Сайте, Едином портале, Портале услуг Калужской области. 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2" w:name="P100"/>
      <w:bookmarkEnd w:id="2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2.6.1. Для рассмотрения вопроса о предоставлении гражданину государственной услуги заявитель представляет в уполномоченный орган заявление по форме согласно приложению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 настоящему Административному регламенту и следующие необходимые документы (в подлинниках или копиях, заверенных в установленном порядке):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1) паспорт или иной документ, удостоверяющий личность;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2) документ о признании гражданина реабилитированным лицом или лицом, пострадавшим от политических репрессий, выданный органами прокуратуры или органами внутренних дел в установленном законодательством порядке (справка о реабилитации, справка о признании пострадавшим от политических репрессий, заключение о соответствии законодательству Российской Федерации документов о реабилитации или признании лиц пострадавшими от политических репрессий, выданных в государствах - бывших союзных республиках СССР);</w:t>
      </w:r>
      <w:proofErr w:type="gramEnd"/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3) пенсионное удостоверение;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4) фотографию размером 3 x 4 см.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случае если за получением государственной услуги обращается уполномоченный представитель, то представляются также документы, удостоверяющие его полномочия.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2.6.2. По усмотрению заявителя документы могут быть поданы: лично, через уполномоченного представителя, почтой или иным доступным для него способом.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2.6.3. При предоставлении государственной услуги уполномоченный орган не вправе требовать от заявителя: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2) представления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3)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proofErr w:type="gramEnd"/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Документов, запрашиваемых в рамках межведомственного взаимодействия для предоставления государственной услуги, нормативными правовыми актами не предусмотрено.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2.8. Основания для отказа в приеме документов, необходимых для предоставления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отказа в приеме документов, необходимых для предоставления государственной услуги, является наличие в документах поправок, приписок, подчисток.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2.9. Основания для приостановления предоставления и (или) отказа в предоставлении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2.9.1. Оснований для приостановления предоставления государственной услуги не имеется.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3" w:name="P124"/>
      <w:bookmarkEnd w:id="3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2.9.2. В предоставлении государственной услуги отказывается в следующих случаях: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отсутствует полный комплект документов, необходимых для рассмотрения вопроса о предоставлении государственной услуги;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заявитель не относится к категориям граждан, указанным в пункте 1.2.1 настоящего Административного регламента.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Плата за предоставление государственной услуги не взимается.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2.11. Максимальный срок ожидания в очереди при подаче заявления о предоставлении государственной услуги и получении результата предоставления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Максимальный срок (время) ожидания в очереди (при ее наличии) при подаче заявления о предоставлении государственной услуги и получении результата предоставления услуги - не более 15 минут.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2.12. Срок регистрации запроса заявителя о предоставлении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Регистрация заявления о предоставлении государственной услуги с документами, указанными в пункте 2.6.1 настоящего Административного регламента, поступившими в уполномоченный орган, осуществляется в срок не более 2-х рабочих дней.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2.13. Требования к помещениям, в которых предоставляется государственная услуга, к местам ожидания и приема заявителей, размещению и оформлению информации о порядке предоставления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Места ожидания в очереди на предоставление или получение документов оборудованы достаточным количеством сидячих мест.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Места для заполнения документов оборудованы стульями, столами, обеспечены требуемыми бланками заявлений, образцами заполнения заявления и канцелярскими принадлежностями.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2.14. Показатели доступности и качества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Показателями доступности предоставления государственной услуги являются: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достаточный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/недостаточный);</w:t>
      </w:r>
    </w:p>
    <w:p w:rsidR="00DB683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доля получателей, получивших необходимые сведения о порядке предоставления государственной услуги через единый портал государственных и муниципальных услуг (% по результатам опроса);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 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количество взаимодействий заявителя с муниципальными служащими при предоставлении государственной услуги - 2.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Показателями качества предоставления государственной услуги являются: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сроки предоставления государственной услуги;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условия ожидания приема;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порядок информирования о предоставлении государственной услуги;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внимание должностных лиц;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количество взаимодействий заявителя со специалистами уполномоченного органа при предоставлении государственной услуги.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2.15. 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Требования к доступности и качеству государственной услуги: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различных каналов получения информации о предоставлении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записи в любые свободные для приема дату и время в пределах установленного в уполномоченном органе графика приема заявителей;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транспортная доступность мест предоставления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сроков ожидания в очереди при предоставлении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сроков предоставления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формирования запроса на предоставление государственной услуги в электронной форме с помощью Единого портала, Портала услуг Калужской области. </w:t>
      </w:r>
    </w:p>
    <w:p w:rsidR="00DB683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2.16.</w:t>
      </w:r>
      <w:r w:rsidRPr="002B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3. Состав, последовательность и сроки выполнения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административных процедур, требования к порядку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их выполнения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3.1. Предоставление государственной услуги включает следующие административные процедуры: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1) прием и регистрацию заявления и документов, указанных в пункте 2.6.1 настоящего Административного регламента;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2) принятие решения о предоставлении государственной услуги либо об отказе в ее предоставлении;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3) выдачу гражданам свидетельства о праве на меры социальной поддержки реабилитированных лиц (лиц, признанных пострадавшими от политических репрессий)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Описание административных процедур.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.1. Прием и регистрация документов, указанных в пункте 2.6.1 настоящего Административного регламента.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обращение заявителя в уполномоченный орган с документами, указанными в пункте 2.6.1 настоящего Административного регламента.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Специалист уполномоченного органа производит следующие действия: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проверяет наличие документов, указанных в пункте 2.6.1 настоящего Административного регламента, необходимых для предоставления государственной услуги, осуществляет их проверку на предмет соответствия действующему законодательству и наличия оснований для предоставления государственной услуги;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производит регистрацию заявления и документов, указанных в пункте 2.6.1 настоящего Административного регламента, в журнале регистрации заявлений и приема документов (приложение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 настоящему Административному регламенту);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выдает расписку-уведомление о приеме (регистрации) заявления и документов. При направлении заявления и документов по почте направляет извещение по почте о дате получения (регистрации) заявления и документов не позднее 5 дней с даты их получения.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.2. Принятие решения о предоставлении государственной услуги либо об отказе в ее предоставлении.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результат рассмотрения документов, указанных в пункте 2.6.1 настоящего Административного регламента.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Свидетельство выдается уполномоченным органом при наличии совокупности следующих требований: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1) заявитель, обратившийся в уполномоченный орган за предоставлением государственной услуги, относится к категориям граждан, указанным в пункте 1.2.1 настоящего Административного регламента;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2) в распоряжении уполномоченного органа имеется полный комплект документов, указанный в пункте 2.6.1 настоящего Административного регламента, необходимых для предоставления государственной услуги заявителю.</w:t>
      </w:r>
      <w:proofErr w:type="gramEnd"/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Основания для отказа в предоставлении государственной услуги перечислены в пункте 2.9.2 настоящего Административного регламента.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Решение о предоставлении государственной услуги либо об отказе в ее 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предоставлении принимается уполномоченным органом не позднее 15 дней со дня обращения заявителя с документами, указанными в пункте 2.6.1 настоящего Административного регламента. Решение доводится до сведения заявителя в письменной форме в 5-дневный срок со дня его принятия.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.3. Выдача гражданам свидетельства о праве на меры социальной поддержки реабилитированных лиц (лиц, признанных пострадавшими от политических репрессий)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случае отказа в предоставлении государственной услуги заявитель письменно извещается об этом в 5-дневный срок после принятия соответствующего решения с указанием правовых оснований отказа и разъяснением порядка его обжалования. Одновременно заявителю возвращаются все документы, которые были приложены к заявлению.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Свидетельство выдается заявителю уполномоченным органом под роспись в книге учета выдачи свидетельств о праве на меры социальной поддержки реабилитированных лиц и лиц, признанных пострадавшими от политических репрессий (приложение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 настоящему Административному регламенту).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Свидетельства, заполненные неправильно (неточно), уничтожаются уполномоченным органом, о чем составляется акт.</w:t>
      </w:r>
    </w:p>
    <w:p w:rsidR="00DB683D" w:rsidRPr="00194C6D" w:rsidRDefault="00DB683D" w:rsidP="00DB683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случае утраты (порчи) свидетельства по заявлению заявителя выдается дубликат свидетельства. В заявлении указываются причины утраты (порчи) свидетельства, его серия, номер, кем и когда было выдано. В случае утраты (порчи) дубликата свидетельства в таком же порядке вновь выдается дубликат свидетельства и в левой части дубликата свидетельства ставится штамп "Дубликат N" с указанием соответствующего номера дубликата.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4. Формы </w:t>
      </w:r>
      <w:proofErr w:type="gramStart"/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контроля за</w:t>
      </w:r>
      <w:proofErr w:type="gramEnd"/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предоставлением государственной услуги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Периодичность осуществления контроля устанавливается руководителем уполномоченного органа.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Требования к порядку и формам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 с использованием сети Интернет).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кабинете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портала, Портала услуг Калужской области.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 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4" w:name="P201"/>
      <w:bookmarkEnd w:id="4"/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5. Досудебное (внесудебное) обжалование заявителем решений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 действий (бездействия) уполномоченного органа,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должностного лица либо муниципального служащего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уполномоченного органа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5.1.1. Заявитель может обратиться с жалобой, в том числе в следующих случаях: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нарушение срока регистрации запроса заявителя о предоставлении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нарушение срока предоставления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предоставления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государственной услуги, у заявителя;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нарушение срока или порядка выдачи документов по результатам предоставления государственной услуги;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 части 1 статьи 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услуг".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Общие требования к порядку подачи и рассмотрения жалобы.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5.2.1. Жалоба подается в письменной форме на бумажном носителе, в электронной форме в уполномоченный орган, многофункциональный центр.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подается заявителем в следующих случаях: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обжалуются решения, действия (бездействие) уполномоченного органа, его руководителя и муниципальных служащих.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муниципальных служащих уполномоченного органа может быть подана также в уполномоченный орган.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уполномоченного органа, его руководителя рассматривается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администрации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муниципальных служащих уполномоченного органа рассматривается руководителем уполномоченного органа.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органа, в электронном виде с использованием Единого портала и Портала услуг Калужской области (</w:t>
      </w:r>
      <w:hyperlink r:id="rId12" w:tgtFrame="_blank" w:tooltip="&lt;div class=&quot;doc www&quot;&gt;&lt;span class=&quot;aligner&quot;&gt;&lt;div class=&quot;icon listDocWWW-16&quot;&gt;&lt;/div&gt;&lt;/span&gt;https://do.gosuslugi.ru&lt;/div&gt;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https://do.gosuslugi.ru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может быть принята при личном приеме заявителя.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5.2.3. Жалоба должна содержать: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сведения об обжалуемых решениях и действиях (бездействии) уполномоченного органа, а также их должностных лиц и муниципальных служащих;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5.2.4.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уполномоченный орган, подлежит рассмотрению в течение пятнадцати рабочих дней со дня ее регистрации, а в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5.2.5. По результатам рассмотрения жалобы принимается одно из следующих решений: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неудобства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5.2.6. В случае установления в ходе или по результатам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B683D" w:rsidRPr="0003104E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329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 5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не применяется. </w:t>
      </w:r>
    </w:p>
    <w:p w:rsidR="00DB683D" w:rsidRDefault="00DB683D" w:rsidP="00DB6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5.2.8.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 </w:t>
      </w:r>
      <w:proofErr w:type="gramEnd"/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</w:p>
    <w:p w:rsidR="00DB683D" w:rsidRPr="003D19AC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lastRenderedPageBreak/>
        <w:t>Приложение 1</w:t>
      </w:r>
    </w:p>
    <w:p w:rsidR="00DB683D" w:rsidRPr="003D19AC" w:rsidRDefault="00DB683D" w:rsidP="00DB683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к Административному регламенту</w:t>
      </w:r>
    </w:p>
    <w:p w:rsidR="00DB683D" w:rsidRPr="003D19AC" w:rsidRDefault="00DB683D" w:rsidP="00DB683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предоставления государственной услуги</w:t>
      </w:r>
    </w:p>
    <w:p w:rsidR="00DB683D" w:rsidRPr="003D19AC" w:rsidRDefault="00DB683D" w:rsidP="00DB683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"Выдача свидетельств о праве на меры</w:t>
      </w:r>
    </w:p>
    <w:p w:rsidR="00DB683D" w:rsidRPr="003D19AC" w:rsidRDefault="00DB683D" w:rsidP="00DB683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социальной поддержки реабилитированных лиц</w:t>
      </w:r>
    </w:p>
    <w:p w:rsidR="00DB683D" w:rsidRPr="003D19AC" w:rsidRDefault="00DB683D" w:rsidP="00DB683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и лиц, признанных пострадавшими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от политических репрессий</w:t>
      </w:r>
      <w:r w:rsidRPr="00194C6D">
        <w:rPr>
          <w:rFonts w:ascii="Calibri" w:eastAsia="Calibri" w:hAnsi="Calibri" w:cs="Calibri"/>
          <w:color w:val="000000"/>
          <w:lang w:eastAsia="ru-RU"/>
        </w:rPr>
        <w:t>"</w:t>
      </w:r>
    </w:p>
    <w:p w:rsidR="00DB683D" w:rsidRPr="00194C6D" w:rsidRDefault="00DB683D" w:rsidP="00DB683D">
      <w:pPr>
        <w:widowControl w:val="0"/>
        <w:spacing w:after="1" w:line="240" w:lineRule="auto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Руководителю _________________________________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          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(наименование уполномоченного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______________________________________________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               органа)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от __________________________________________,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    (полностью фамилия, имя, отчество)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_____________________________________________,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_____________________________________________,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          (дата и год рождения)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проживающего: 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_____________________________________________,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контактный телефон 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bookmarkStart w:id="5" w:name="P318"/>
      <w:bookmarkEnd w:id="5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ЗАЯВЛЕНИЕ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Прошу  выдать  мне  свидетельство  о праве на меры социальной поддержки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реабилитированных  лиц  (свидетельство о праве на меры социальной поддержки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лиц, признанных пострадавшими от политических репрессий).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Представляю следующие документы: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1. Паспорт: серия ________ N ___________,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(кем и когда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выдан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2. 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Документ  о  признании  гражданина  реабилитированным лицом (лицом,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пострадавшим  от политических репрессий),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выданный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органами Внутренних дел,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органами прокуратуры в установленном порядке и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подтверждающий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основания для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получения свидетельства: __________________________________________________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(справка  о  реабилитации, справка о признании пострадавшим от политических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репрессий,  заключение о соответствии законодательству Российской Федерации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документов  о  реабилитации или признании лиц пострадавшими от политических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репрессий, выданных в государствах - бывших союзных республиках СССР)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(кем и когда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выдан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3. Пенсионное удостоверение.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Ксерокопии названных документов прилагаются.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4. Фотографию размером 3 x 4 см.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В   соответствии   с  требованиями  Федерального  закона  от 27.07.2006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N   152-ФЗ   "О  персональных  данных"  в  целях  оформления  и  выдачи мне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свидетельства  о  праве  на меры социальной поддержки реабилитированных лиц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(свидетельства  о  праве  на  меры  социальной  поддержки  лиц,  признанных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пострадавшими от политических репрессий) даю согласие управлению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социальной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защиты  города Калуги, расположенному по адресу: г. Калуга, ул. Московская,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д.  188,  на обработку моих персональных данных, указанных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представленных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мною  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документах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.   Согласие  даю  на  сбор,  систематизацию,  накопление,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хранение,  уточнение  (обновление,  изменение),  а  также на обезличивание,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блокирование, уничтожение моих персональных данных.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Данное   согласие   действует   на   период  оформления  и  выдачи  мне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свидетельства  о  праве  на меры социальной поддержки реабилитированных лиц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(свидетельства  о  праве  на  меры  социальной  поддержки  лиц,  признанных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пострадавшими  от  политических репрессий), а в части хранения персональных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данных  -  также  в  течение  пяти  лет  после выдачи свидетельства. Данное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согласие может быть мною отозвано письменным заявлением.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        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(дата)                         (подпись)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lastRenderedPageBreak/>
        <w:t>___________________________________________________________________________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Решение о выдаче свидетельства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Свидетельство   о   праве   на   меры   социальной   поддержки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реабилитированных  лиц  (свидетельство  о праве на меры социальной</w:t>
      </w:r>
      <w:proofErr w:type="gramEnd"/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поддержки лиц, признанных пострадавшими от политических репрессий)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выдано: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(серия, номер, дата выдачи)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   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(подпись уполномоченного должностного лица)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Расписка-уведомление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Заявление и др. документы гр. ___________________________________________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005"/>
        <w:gridCol w:w="2835"/>
      </w:tblGrid>
      <w:tr w:rsidR="00DB683D" w:rsidRPr="00194C6D" w:rsidTr="00E70D04"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Calibri" w:eastAsia="Calibri" w:hAnsi="Calibri" w:cs="Calibri"/>
                <w:color w:val="000000"/>
                <w:lang w:eastAsia="ru-RU"/>
              </w:rPr>
              <w:t>Регистрационный 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Calibri" w:eastAsia="Calibri" w:hAnsi="Calibri" w:cs="Calibri"/>
                <w:color w:val="000000"/>
                <w:lang w:eastAsia="ru-RU"/>
              </w:rPr>
              <w:t>Принял</w:t>
            </w:r>
          </w:p>
        </w:tc>
      </w:tr>
      <w:tr w:rsidR="00DB683D" w:rsidRPr="00194C6D" w:rsidTr="00E70D04"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Calibri" w:eastAsia="Calibri" w:hAnsi="Calibri" w:cs="Calibri"/>
                <w:color w:val="000000"/>
                <w:lang w:eastAsia="ru-RU"/>
              </w:rPr>
              <w:t>Дата приема заявления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Calibri" w:eastAsia="Calibri" w:hAnsi="Calibri" w:cs="Calibri"/>
                <w:color w:val="000000"/>
                <w:lang w:eastAsia="ru-RU"/>
              </w:rPr>
              <w:t>Подпись специалиста</w:t>
            </w:r>
          </w:p>
        </w:tc>
      </w:tr>
      <w:tr w:rsidR="00DB683D" w:rsidRPr="00194C6D" w:rsidTr="00E70D04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DB683D" w:rsidRPr="00194C6D" w:rsidTr="00E70D04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</w:tbl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right"/>
        <w:outlineLvl w:val="1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Calibri"/>
          <w:color w:val="000000"/>
          <w:lang w:eastAsia="ru-RU"/>
        </w:rPr>
        <w:t>2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к Административному регламенту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предоставления государственной услуги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"Выдача свидетельств о праве на меры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социальной поддержки реабилитированных лиц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и лиц, признанных пострадавшими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от политических репрессий"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6" w:name="P400"/>
      <w:bookmarkEnd w:id="6"/>
      <w:r w:rsidRPr="00194C6D">
        <w:rPr>
          <w:rFonts w:ascii="Times New Roman" w:eastAsia="Calibri" w:hAnsi="Times New Roman" w:cs="Calibri"/>
          <w:color w:val="000000"/>
          <w:lang w:eastAsia="ru-RU"/>
        </w:rPr>
        <w:t>ЖУРНАЛ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РЕГИСТРАЦИИ ЗАЯВЛЕНИЙ И ПРИЕМА ДОКУМЕНТОВ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6"/>
        <w:gridCol w:w="1363"/>
        <w:gridCol w:w="1644"/>
        <w:gridCol w:w="2155"/>
        <w:gridCol w:w="1926"/>
      </w:tblGrid>
      <w:tr w:rsidR="00DB683D" w:rsidRPr="00194C6D" w:rsidTr="00E70D0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N </w:t>
            </w:r>
            <w:proofErr w:type="gramStart"/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п</w:t>
            </w:r>
            <w:proofErr w:type="gramEnd"/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Дата обращения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Ф.И.О. заявителя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Адрес места жительства заявителя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Количество представленных документов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Подпись лица в получении документов</w:t>
            </w:r>
          </w:p>
        </w:tc>
      </w:tr>
      <w:tr w:rsidR="00DB683D" w:rsidRPr="00194C6D" w:rsidTr="00E70D0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6</w:t>
            </w:r>
          </w:p>
        </w:tc>
      </w:tr>
    </w:tbl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Default="00DB683D" w:rsidP="00DB683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right"/>
        <w:outlineLvl w:val="1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Calibri"/>
          <w:color w:val="000000"/>
          <w:lang w:eastAsia="ru-RU"/>
        </w:rPr>
        <w:t>3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к Административному регламенту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предоставления государственной услуги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"Выдача свидетельств о праве на меры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социальной поддержки реабилитированных лиц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и лиц, признанных пострадавшими</w:t>
      </w:r>
    </w:p>
    <w:p w:rsidR="00DB683D" w:rsidRPr="00194C6D" w:rsidRDefault="00DB683D" w:rsidP="00DB683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от политических репрессий"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7" w:name="P428"/>
      <w:bookmarkEnd w:id="7"/>
      <w:r w:rsidRPr="00194C6D">
        <w:rPr>
          <w:rFonts w:ascii="Times New Roman" w:eastAsia="Calibri" w:hAnsi="Times New Roman" w:cs="Calibri"/>
          <w:color w:val="000000"/>
          <w:lang w:eastAsia="ru-RU"/>
        </w:rPr>
        <w:t>КНИГА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УЧЕТА ВЫДАЧИ СВИДЕТЕЛЬСТВ О ПРАВЕ НА МЕРЫ СОЦИАЛЬНОЙ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ПОДДЕРЖКИ РЕАБИЛИТИРОВАННЫХ ЛИЦ И ЛИЦ, ПРИЗНАННЫХ</w:t>
      </w:r>
    </w:p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ПОСТРАДАВШИМИ ОТ ПОЛИТИЧЕСКИХ РЕПРЕССИЙ</w:t>
      </w:r>
    </w:p>
    <w:p w:rsidR="00DB683D" w:rsidRPr="00194C6D" w:rsidRDefault="00DB683D" w:rsidP="00DB683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2035"/>
        <w:gridCol w:w="1241"/>
        <w:gridCol w:w="1369"/>
        <w:gridCol w:w="1617"/>
        <w:gridCol w:w="1453"/>
        <w:gridCol w:w="1465"/>
      </w:tblGrid>
      <w:tr w:rsidR="00DB683D" w:rsidRPr="00194C6D" w:rsidTr="00E70D04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N </w:t>
            </w:r>
            <w:proofErr w:type="gramStart"/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п</w:t>
            </w:r>
            <w:proofErr w:type="gramEnd"/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Фамилия, имя, отчество лица, которому выдано свидетельство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Место жительства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Серия и номер свидетельства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Дата выдачи свидетельства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Личная подпись лица, которому выдано свидетельство</w:t>
            </w:r>
          </w:p>
        </w:tc>
      </w:tr>
      <w:tr w:rsidR="00DB683D" w:rsidRPr="00194C6D" w:rsidTr="00E70D04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3D" w:rsidRPr="00194C6D" w:rsidRDefault="00DB683D" w:rsidP="00E70D0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7</w:t>
            </w:r>
          </w:p>
        </w:tc>
      </w:tr>
    </w:tbl>
    <w:p w:rsidR="00DB683D" w:rsidRPr="00194C6D" w:rsidRDefault="00DB683D" w:rsidP="00DB68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B683D" w:rsidRDefault="00DB683D" w:rsidP="00DB683D">
      <w:pPr>
        <w:jc w:val="both"/>
      </w:pPr>
    </w:p>
    <w:p w:rsidR="00A26133" w:rsidRDefault="00A26133"/>
    <w:sectPr w:rsidR="00A26133" w:rsidSect="00DB68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3D"/>
    <w:rsid w:val="009E0B4A"/>
    <w:rsid w:val="00A26133"/>
    <w:rsid w:val="00D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35&amp;date=16.05.2023" TargetMode="External"/><Relationship Id="rId12" Type="http://schemas.openxmlformats.org/officeDocument/2006/relationships/hyperlink" Target="https://do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1321&amp;dst=994&amp;field=134&amp;date=16.05.2023" TargetMode="External"/><Relationship Id="rId11" Type="http://schemas.openxmlformats.org/officeDocument/2006/relationships/hyperlink" Target="https://login.consultant.ru/link/?req=doc&amp;base=LAW&amp;n=430635&amp;dst=290&amp;field=134&amp;date=16.05.202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37&amp;n=144896&amp;date=16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ka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6701</Words>
  <Characters>38197</Characters>
  <Application>Microsoft Office Word</Application>
  <DocSecurity>0</DocSecurity>
  <Lines>318</Lines>
  <Paragraphs>89</Paragraphs>
  <ScaleCrop>false</ScaleCrop>
  <Company/>
  <LinksUpToDate>false</LinksUpToDate>
  <CharactersWithSpaces>44809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2023-06-27T08:02:00Z</cp:lastPrinted>
  <dcterms:created xsi:type="dcterms:W3CDTF">2023-06-27T07:57:00Z</dcterms:created>
  <dcterms:modified xsi:type="dcterms:W3CDTF">2023-07-04T06:43:00Z</dcterms:modified>
</cp:coreProperties>
</file>